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342B" w14:textId="77777777" w:rsidR="00D33EF8" w:rsidRDefault="00D33EF8">
      <w:pPr>
        <w:spacing w:after="156" w:line="560" w:lineRule="exact"/>
        <w:jc w:val="center"/>
        <w:textAlignment w:val="baseline"/>
        <w:rPr>
          <w:rStyle w:val="NormalCharacter"/>
          <w:rFonts w:ascii="Times New Roman" w:eastAsia="方正小标宋简体" w:hAnsi="Times New Roman" w:cs="Times New Roman"/>
          <w:b/>
          <w:sz w:val="44"/>
          <w:szCs w:val="44"/>
        </w:rPr>
      </w:pPr>
    </w:p>
    <w:p w14:paraId="4A4F2BB7" w14:textId="77777777" w:rsidR="00D33EF8" w:rsidRDefault="00D33EF8">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5A4CDA01" w14:textId="77777777" w:rsidR="00D33EF8" w:rsidRDefault="00D33EF8">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51543FFD" w14:textId="0ACEDF02" w:rsidR="00D33EF8" w:rsidRDefault="003B67E7">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天津城建大学</w:t>
      </w:r>
    </w:p>
    <w:p w14:paraId="2827AEC5" w14:textId="77777777" w:rsidR="00D33EF8" w:rsidRDefault="003B67E7">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学位授权点建设</w:t>
      </w:r>
      <w:r>
        <w:rPr>
          <w:rStyle w:val="NormalCharacter"/>
          <w:rFonts w:ascii="宋体" w:eastAsia="宋体" w:hAnsi="宋体" w:cs="Times New Roman"/>
          <w:b/>
          <w:bCs/>
          <w:sz w:val="44"/>
          <w:szCs w:val="44"/>
        </w:rPr>
        <w:t>年度报告</w:t>
      </w:r>
    </w:p>
    <w:p w14:paraId="15687796" w14:textId="4869C01D" w:rsidR="00D33EF8" w:rsidRDefault="00D34D09">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w:t>
      </w:r>
      <w:r>
        <w:rPr>
          <w:rStyle w:val="NormalCharacter"/>
          <w:rFonts w:ascii="宋体" w:eastAsia="宋体" w:hAnsi="宋体" w:cs="Times New Roman"/>
          <w:b/>
          <w:bCs/>
          <w:sz w:val="44"/>
          <w:szCs w:val="44"/>
        </w:rPr>
        <w:t>2021</w:t>
      </w:r>
      <w:r>
        <w:rPr>
          <w:rStyle w:val="NormalCharacter"/>
          <w:rFonts w:ascii="宋体" w:eastAsia="宋体" w:hAnsi="宋体" w:cs="Times New Roman" w:hint="eastAsia"/>
          <w:b/>
          <w:bCs/>
          <w:sz w:val="44"/>
          <w:szCs w:val="44"/>
        </w:rPr>
        <w:t>年度）</w:t>
      </w:r>
    </w:p>
    <w:p w14:paraId="63C07BEC" w14:textId="77777777" w:rsidR="00D33EF8" w:rsidRDefault="00D33EF8">
      <w:pPr>
        <w:widowControl/>
        <w:spacing w:after="156" w:line="560" w:lineRule="exact"/>
        <w:jc w:val="center"/>
        <w:textAlignment w:val="baseline"/>
        <w:rPr>
          <w:rStyle w:val="NormalCharacter"/>
          <w:rFonts w:eastAsia="等线" w:cs="Times New Roman"/>
          <w:bCs/>
          <w:sz w:val="44"/>
          <w:szCs w:val="44"/>
        </w:rPr>
      </w:pPr>
    </w:p>
    <w:p w14:paraId="6A5F030B" w14:textId="77777777" w:rsidR="00D33EF8" w:rsidRDefault="00D33EF8">
      <w:pPr>
        <w:snapToGrid w:val="0"/>
        <w:jc w:val="center"/>
        <w:textAlignment w:val="baseline"/>
        <w:rPr>
          <w:rStyle w:val="NormalCharacter"/>
          <w:rFonts w:ascii="Times New Roman" w:eastAsia="等线" w:hAnsi="Times New Roman" w:cs="Times New Roman"/>
          <w:b/>
          <w:sz w:val="48"/>
          <w:szCs w:val="20"/>
        </w:rPr>
      </w:pPr>
    </w:p>
    <w:p w14:paraId="5A04B5EE" w14:textId="77777777" w:rsidR="00D33EF8" w:rsidRDefault="00D33EF8">
      <w:pPr>
        <w:snapToGrid w:val="0"/>
        <w:jc w:val="center"/>
        <w:textAlignment w:val="baseline"/>
        <w:rPr>
          <w:rStyle w:val="NormalCharacter"/>
          <w:rFonts w:ascii="Times New Roman" w:eastAsia="等线" w:hAnsi="Times New Roman" w:cs="Times New Roman"/>
          <w:b/>
          <w:sz w:val="48"/>
          <w:szCs w:val="20"/>
        </w:rPr>
      </w:pPr>
    </w:p>
    <w:p w14:paraId="01C44BBF" w14:textId="77777777" w:rsidR="00D33EF8" w:rsidRDefault="00D33EF8">
      <w:pPr>
        <w:snapToGrid w:val="0"/>
        <w:spacing w:line="300" w:lineRule="auto"/>
        <w:jc w:val="center"/>
        <w:textAlignment w:val="baseline"/>
        <w:rPr>
          <w:rStyle w:val="NormalCharacter"/>
          <w:rFonts w:ascii="Times New Roman" w:eastAsia="等线" w:hAnsi="Times New Roman" w:cs="Times New Roman"/>
          <w:b/>
          <w:szCs w:val="32"/>
        </w:rPr>
      </w:pPr>
    </w:p>
    <w:tbl>
      <w:tblPr>
        <w:tblW w:w="5484" w:type="dxa"/>
        <w:jc w:val="center"/>
        <w:tblBorders>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7"/>
        <w:gridCol w:w="3977"/>
      </w:tblGrid>
      <w:tr w:rsidR="00D33EF8" w14:paraId="4F0DAF97" w14:textId="77777777">
        <w:trPr>
          <w:trHeight w:val="794"/>
          <w:jc w:val="center"/>
        </w:trPr>
        <w:tc>
          <w:tcPr>
            <w:tcW w:w="1507" w:type="dxa"/>
            <w:vMerge w:val="restart"/>
            <w:tcBorders>
              <w:top w:val="nil"/>
              <w:left w:val="nil"/>
              <w:bottom w:val="single" w:sz="4" w:space="0" w:color="000000"/>
              <w:right w:val="single" w:sz="4" w:space="0" w:color="000000"/>
            </w:tcBorders>
            <w:vAlign w:val="center"/>
          </w:tcPr>
          <w:p w14:paraId="629AA185" w14:textId="77777777" w:rsidR="00D33EF8" w:rsidRDefault="003B67E7">
            <w:pPr>
              <w:ind w:firstLineChars="100" w:firstLine="301"/>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学院</w:t>
            </w:r>
          </w:p>
          <w:p w14:paraId="613361EE" w14:textId="77777777" w:rsidR="00D33EF8" w:rsidRDefault="003B67E7">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（公章）</w:t>
            </w:r>
          </w:p>
        </w:tc>
        <w:tc>
          <w:tcPr>
            <w:tcW w:w="3977" w:type="dxa"/>
            <w:tcBorders>
              <w:top w:val="nil"/>
              <w:left w:val="single" w:sz="4" w:space="0" w:color="000000"/>
              <w:bottom w:val="single" w:sz="4" w:space="0" w:color="000000"/>
              <w:right w:val="nil"/>
            </w:tcBorders>
            <w:vAlign w:val="center"/>
          </w:tcPr>
          <w:p w14:paraId="0B40C68C" w14:textId="3D4E10D7" w:rsidR="00D33EF8" w:rsidRDefault="003B67E7">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名称：</w:t>
            </w:r>
            <w:r>
              <w:rPr>
                <w:rStyle w:val="NormalCharacter"/>
                <w:rFonts w:ascii="Times New Roman" w:eastAsia="宋体" w:hAnsi="Times New Roman" w:cs="Times New Roman" w:hint="eastAsia"/>
                <w:b/>
                <w:spacing w:val="-10"/>
                <w:szCs w:val="32"/>
              </w:rPr>
              <w:t>建筑学</w:t>
            </w:r>
          </w:p>
        </w:tc>
      </w:tr>
      <w:tr w:rsidR="00D33EF8" w14:paraId="3612FD64" w14:textId="77777777">
        <w:trPr>
          <w:trHeight w:val="794"/>
          <w:jc w:val="center"/>
        </w:trPr>
        <w:tc>
          <w:tcPr>
            <w:tcW w:w="1507" w:type="dxa"/>
            <w:vMerge/>
            <w:tcBorders>
              <w:top w:val="single" w:sz="4" w:space="0" w:color="000000"/>
              <w:left w:val="nil"/>
              <w:bottom w:val="nil"/>
              <w:right w:val="single" w:sz="4" w:space="0" w:color="000000"/>
            </w:tcBorders>
            <w:vAlign w:val="center"/>
          </w:tcPr>
          <w:p w14:paraId="5B161FAD" w14:textId="77777777" w:rsidR="00D33EF8" w:rsidRDefault="00D33EF8">
            <w:pPr>
              <w:rPr>
                <w:rStyle w:val="NormalCharacter"/>
                <w:rFonts w:ascii="Times New Roman" w:eastAsia="等线" w:hAnsi="Times New Roman" w:cs="Times New Roman"/>
                <w:b/>
                <w:spacing w:val="-10"/>
                <w:szCs w:val="32"/>
              </w:rPr>
            </w:pPr>
          </w:p>
        </w:tc>
        <w:tc>
          <w:tcPr>
            <w:tcW w:w="3977" w:type="dxa"/>
            <w:tcBorders>
              <w:top w:val="single" w:sz="4" w:space="0" w:color="000000"/>
              <w:left w:val="single" w:sz="4" w:space="0" w:color="000000"/>
              <w:bottom w:val="nil"/>
              <w:right w:val="nil"/>
            </w:tcBorders>
            <w:vAlign w:val="center"/>
          </w:tcPr>
          <w:p w14:paraId="7ACA184B" w14:textId="77777777" w:rsidR="00D33EF8" w:rsidRDefault="003B67E7">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代码：</w:t>
            </w:r>
            <w:r>
              <w:rPr>
                <w:rStyle w:val="NormalCharacter"/>
                <w:rFonts w:ascii="Times New Roman" w:eastAsia="宋体" w:hAnsi="Times New Roman" w:cs="Times New Roman"/>
                <w:b/>
                <w:spacing w:val="-10"/>
                <w:szCs w:val="32"/>
              </w:rPr>
              <w:t>0813</w:t>
            </w:r>
          </w:p>
        </w:tc>
      </w:tr>
    </w:tbl>
    <w:p w14:paraId="118FC0D2" w14:textId="77777777" w:rsidR="00D33EF8" w:rsidRDefault="00D33EF8">
      <w:pPr>
        <w:widowControl/>
        <w:snapToGrid w:val="0"/>
        <w:spacing w:line="300" w:lineRule="auto"/>
        <w:jc w:val="left"/>
        <w:textAlignment w:val="baseline"/>
        <w:rPr>
          <w:rStyle w:val="NormalCharacter"/>
          <w:rFonts w:ascii="Times New Roman" w:eastAsia="等线" w:hAnsi="Times New Roman" w:cs="Times New Roman"/>
          <w:b/>
          <w:sz w:val="48"/>
          <w:szCs w:val="20"/>
        </w:rPr>
      </w:pPr>
    </w:p>
    <w:p w14:paraId="52E4E372" w14:textId="77777777" w:rsidR="00D33EF8" w:rsidRDefault="00D33EF8">
      <w:pPr>
        <w:spacing w:line="560" w:lineRule="exact"/>
        <w:jc w:val="center"/>
        <w:textAlignment w:val="baseline"/>
        <w:rPr>
          <w:rStyle w:val="NormalCharacter"/>
          <w:rFonts w:ascii="Times New Roman" w:eastAsia="等线" w:hAnsi="Times New Roman" w:cs="Times New Roman"/>
          <w:b/>
          <w:sz w:val="30"/>
          <w:szCs w:val="30"/>
        </w:rPr>
      </w:pPr>
    </w:p>
    <w:p w14:paraId="31F67E3B" w14:textId="77777777" w:rsidR="00D33EF8" w:rsidRDefault="00D33EF8">
      <w:pPr>
        <w:pStyle w:val="Heading3"/>
        <w:widowControl/>
        <w:rPr>
          <w:rStyle w:val="NormalCharacter"/>
          <w:rFonts w:ascii="Times New Roman" w:eastAsia="等线" w:hAnsi="Times New Roman" w:cs="Times New Roman"/>
          <w:color w:val="auto"/>
        </w:rPr>
      </w:pPr>
    </w:p>
    <w:p w14:paraId="585573E6" w14:textId="77777777" w:rsidR="00D33EF8" w:rsidRDefault="00D33EF8"/>
    <w:p w14:paraId="614C2FEB" w14:textId="77777777" w:rsidR="00D33EF8" w:rsidRDefault="00D33EF8"/>
    <w:p w14:paraId="42D743C1" w14:textId="77777777" w:rsidR="00D33EF8" w:rsidRDefault="00D33EF8">
      <w:pPr>
        <w:spacing w:line="560" w:lineRule="exact"/>
        <w:jc w:val="center"/>
        <w:textAlignment w:val="baseline"/>
        <w:rPr>
          <w:rStyle w:val="NormalCharacter"/>
          <w:rFonts w:ascii="Times New Roman" w:eastAsia="等线" w:hAnsi="Times New Roman" w:cs="Times New Roman"/>
          <w:b/>
          <w:sz w:val="30"/>
          <w:szCs w:val="30"/>
        </w:rPr>
      </w:pPr>
    </w:p>
    <w:p w14:paraId="574F26D7" w14:textId="272AD52E" w:rsidR="00D33EF8" w:rsidRDefault="003B67E7">
      <w:pPr>
        <w:widowControl/>
        <w:snapToGrid w:val="0"/>
        <w:spacing w:line="240" w:lineRule="atLeast"/>
        <w:jc w:val="center"/>
        <w:textAlignment w:val="baseline"/>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建筑学院</w:t>
      </w:r>
    </w:p>
    <w:p w14:paraId="1291FD3F" w14:textId="77777777" w:rsidR="00D33EF8" w:rsidRDefault="00D33EF8">
      <w:pPr>
        <w:snapToGrid w:val="0"/>
        <w:spacing w:line="240" w:lineRule="atLeast"/>
        <w:jc w:val="center"/>
        <w:textAlignment w:val="baseline"/>
        <w:rPr>
          <w:rStyle w:val="NormalCharacter"/>
          <w:rFonts w:ascii="宋体" w:eastAsia="宋体" w:hAnsi="宋体" w:cs="Times New Roman"/>
          <w:b/>
          <w:spacing w:val="-10"/>
          <w:szCs w:val="32"/>
        </w:rPr>
      </w:pPr>
    </w:p>
    <w:p w14:paraId="05AD0606" w14:textId="52544A3D" w:rsidR="00D33EF8" w:rsidRDefault="003B67E7">
      <w:pPr>
        <w:widowControl/>
        <w:snapToGrid w:val="0"/>
        <w:spacing w:line="240" w:lineRule="atLeast"/>
        <w:jc w:val="center"/>
        <w:textAlignment w:val="baseline"/>
        <w:rPr>
          <w:rFonts w:ascii="仿宋" w:eastAsia="仿宋" w:hAnsi="仿宋" w:cs="Arial"/>
          <w:color w:val="000000"/>
          <w:kern w:val="0"/>
          <w:sz w:val="24"/>
          <w:szCs w:val="24"/>
        </w:rPr>
      </w:pPr>
      <w:r>
        <w:rPr>
          <w:rStyle w:val="NormalCharacter"/>
          <w:rFonts w:ascii="宋体" w:eastAsia="宋体" w:hAnsi="宋体" w:cs="Times New Roman"/>
          <w:b/>
          <w:spacing w:val="-10"/>
          <w:szCs w:val="32"/>
        </w:rPr>
        <w:t>2022</w:t>
      </w:r>
      <w:r>
        <w:rPr>
          <w:rStyle w:val="NormalCharacter"/>
          <w:rFonts w:ascii="宋体" w:eastAsia="宋体" w:hAnsi="宋体" w:cs="Times New Roman"/>
          <w:b/>
          <w:spacing w:val="-10"/>
          <w:szCs w:val="32"/>
        </w:rPr>
        <w:t>年</w:t>
      </w:r>
      <w:r>
        <w:rPr>
          <w:rStyle w:val="NormalCharacter"/>
          <w:rFonts w:ascii="宋体" w:eastAsia="宋体" w:hAnsi="宋体" w:cs="Times New Roman"/>
          <w:b/>
          <w:spacing w:val="-10"/>
          <w:szCs w:val="32"/>
        </w:rPr>
        <w:t>3</w:t>
      </w:r>
      <w:r>
        <w:rPr>
          <w:rStyle w:val="NormalCharacter"/>
          <w:rFonts w:ascii="宋体" w:eastAsia="宋体" w:hAnsi="宋体" w:cs="Times New Roman"/>
          <w:b/>
          <w:spacing w:val="-10"/>
          <w:szCs w:val="32"/>
        </w:rPr>
        <w:t>月</w:t>
      </w:r>
      <w:r>
        <w:rPr>
          <w:rStyle w:val="NormalCharacter"/>
          <w:rFonts w:ascii="宋体" w:hAnsi="宋体" w:cs="Times New Roman" w:hint="eastAsia"/>
          <w:b/>
          <w:spacing w:val="-10"/>
          <w:szCs w:val="32"/>
        </w:rPr>
        <w:t>30</w:t>
      </w:r>
      <w:r>
        <w:rPr>
          <w:rStyle w:val="NormalCharacter"/>
          <w:rFonts w:ascii="宋体" w:eastAsia="宋体" w:hAnsi="宋体" w:cs="Times New Roman"/>
          <w:b/>
          <w:spacing w:val="-10"/>
          <w:szCs w:val="32"/>
        </w:rPr>
        <w:t>日</w:t>
      </w:r>
      <w:r>
        <w:rPr>
          <w:rFonts w:ascii="仿宋" w:eastAsia="仿宋" w:hAnsi="仿宋" w:cs="Courier New"/>
          <w:color w:val="000000"/>
          <w:kern w:val="0"/>
          <w:sz w:val="24"/>
          <w:szCs w:val="24"/>
        </w:rPr>
        <w:br w:type="page"/>
      </w:r>
    </w:p>
    <w:p w14:paraId="59CCC721" w14:textId="77777777" w:rsidR="00D33EF8" w:rsidRDefault="003B67E7">
      <w:pPr>
        <w:pStyle w:val="2"/>
      </w:pPr>
      <w:r>
        <w:lastRenderedPageBreak/>
        <w:t>一、基本情况</w:t>
      </w:r>
    </w:p>
    <w:p w14:paraId="20002A9C" w14:textId="77777777" w:rsidR="00D33EF8" w:rsidRDefault="003B67E7">
      <w:pPr>
        <w:pStyle w:val="3"/>
      </w:pPr>
      <w:r>
        <w:rPr>
          <w:rFonts w:hint="eastAsia"/>
        </w:rPr>
        <w:t>1</w:t>
      </w:r>
      <w:r>
        <w:t>.1</w:t>
      </w:r>
      <w:r>
        <w:t>学位授权点发展历史及内涵</w:t>
      </w:r>
    </w:p>
    <w:p w14:paraId="416F728C" w14:textId="1CDF280B"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建筑学专业始建于</w:t>
      </w:r>
      <w:r>
        <w:rPr>
          <w:rFonts w:ascii="宋体" w:eastAsia="宋体" w:hAnsi="宋体" w:cs="宋体" w:hint="eastAsia"/>
          <w:color w:val="auto"/>
          <w:sz w:val="28"/>
          <w:szCs w:val="28"/>
        </w:rPr>
        <w:t>1982</w:t>
      </w:r>
      <w:r>
        <w:rPr>
          <w:rFonts w:ascii="宋体" w:eastAsia="宋体" w:hAnsi="宋体" w:cs="宋体" w:hint="eastAsia"/>
          <w:color w:val="auto"/>
          <w:sz w:val="28"/>
          <w:szCs w:val="28"/>
        </w:rPr>
        <w:t>年。</w:t>
      </w:r>
      <w:r>
        <w:rPr>
          <w:rFonts w:ascii="宋体" w:eastAsia="宋体" w:hAnsi="宋体" w:cs="宋体" w:hint="eastAsia"/>
          <w:color w:val="auto"/>
          <w:sz w:val="28"/>
          <w:szCs w:val="28"/>
        </w:rPr>
        <w:t>2010</w:t>
      </w:r>
      <w:r>
        <w:rPr>
          <w:rFonts w:ascii="宋体" w:eastAsia="宋体" w:hAnsi="宋体" w:cs="宋体" w:hint="eastAsia"/>
          <w:color w:val="auto"/>
          <w:sz w:val="28"/>
          <w:szCs w:val="28"/>
        </w:rPr>
        <w:t>年，建筑学学科获批一级学科硕士学位授权点，建筑学专业获批天津市品牌专业建设项目</w:t>
      </w:r>
      <w:r w:rsidR="00B25911">
        <w:rPr>
          <w:rFonts w:ascii="宋体" w:eastAsia="宋体" w:hAnsi="宋体" w:cs="宋体" w:hint="eastAsia"/>
          <w:color w:val="auto"/>
          <w:sz w:val="28"/>
          <w:szCs w:val="28"/>
        </w:rPr>
        <w:t>；</w:t>
      </w:r>
      <w:r>
        <w:rPr>
          <w:rFonts w:ascii="宋体" w:eastAsia="宋体" w:hAnsi="宋体" w:cs="宋体" w:hint="eastAsia"/>
          <w:color w:val="auto"/>
          <w:sz w:val="28"/>
          <w:szCs w:val="28"/>
        </w:rPr>
        <w:t>2011</w:t>
      </w:r>
      <w:r>
        <w:rPr>
          <w:rFonts w:ascii="宋体" w:eastAsia="宋体" w:hAnsi="宋体" w:cs="宋体" w:hint="eastAsia"/>
          <w:color w:val="auto"/>
          <w:sz w:val="28"/>
          <w:szCs w:val="28"/>
        </w:rPr>
        <w:t>年，建筑学专业通过全国高等学校建筑学专业教学评估</w:t>
      </w:r>
      <w:r w:rsidR="00B25911">
        <w:rPr>
          <w:rFonts w:ascii="宋体" w:eastAsia="宋体" w:hAnsi="宋体" w:cs="宋体" w:hint="eastAsia"/>
          <w:color w:val="auto"/>
          <w:sz w:val="28"/>
          <w:szCs w:val="28"/>
        </w:rPr>
        <w:t>；</w:t>
      </w:r>
      <w:r>
        <w:rPr>
          <w:rFonts w:ascii="宋体" w:eastAsia="宋体" w:hAnsi="宋体" w:cs="宋体" w:hint="eastAsia"/>
          <w:color w:val="auto"/>
          <w:sz w:val="28"/>
          <w:szCs w:val="28"/>
        </w:rPr>
        <w:t>2012</w:t>
      </w:r>
      <w:r>
        <w:rPr>
          <w:rFonts w:ascii="宋体" w:eastAsia="宋体" w:hAnsi="宋体" w:cs="宋体" w:hint="eastAsia"/>
          <w:color w:val="auto"/>
          <w:sz w:val="28"/>
          <w:szCs w:val="28"/>
        </w:rPr>
        <w:t>年起，建筑学学科成为天津市重点学科；</w:t>
      </w:r>
      <w:r>
        <w:rPr>
          <w:rFonts w:ascii="宋体" w:eastAsia="宋体" w:hAnsi="宋体" w:cs="宋体" w:hint="eastAsia"/>
          <w:color w:val="auto"/>
          <w:sz w:val="28"/>
          <w:szCs w:val="28"/>
        </w:rPr>
        <w:t>2017</w:t>
      </w:r>
      <w:r>
        <w:rPr>
          <w:rFonts w:ascii="宋体" w:eastAsia="宋体" w:hAnsi="宋体" w:cs="宋体" w:hint="eastAsia"/>
          <w:color w:val="auto"/>
          <w:sz w:val="28"/>
          <w:szCs w:val="28"/>
        </w:rPr>
        <w:t>年</w:t>
      </w:r>
      <w:r w:rsidR="00535F1A">
        <w:rPr>
          <w:rFonts w:ascii="宋体" w:eastAsia="宋体" w:hAnsi="宋体" w:cs="宋体" w:hint="eastAsia"/>
          <w:color w:val="auto"/>
          <w:sz w:val="28"/>
          <w:szCs w:val="28"/>
        </w:rPr>
        <w:t>本</w:t>
      </w:r>
      <w:r>
        <w:rPr>
          <w:rFonts w:ascii="宋体" w:eastAsia="宋体" w:hAnsi="宋体" w:cs="宋体" w:hint="eastAsia"/>
          <w:color w:val="auto"/>
          <w:sz w:val="28"/>
          <w:szCs w:val="28"/>
        </w:rPr>
        <w:t>学科牵头获批天津市优势特色学科群建设项目；</w:t>
      </w:r>
      <w:r>
        <w:rPr>
          <w:rFonts w:ascii="宋体" w:eastAsia="宋体" w:hAnsi="宋体" w:cs="宋体" w:hint="eastAsia"/>
          <w:color w:val="auto"/>
          <w:sz w:val="28"/>
          <w:szCs w:val="28"/>
        </w:rPr>
        <w:t>2019</w:t>
      </w:r>
      <w:r>
        <w:rPr>
          <w:rFonts w:ascii="宋体" w:eastAsia="宋体" w:hAnsi="宋体" w:cs="宋体" w:hint="eastAsia"/>
          <w:color w:val="auto"/>
          <w:sz w:val="28"/>
          <w:szCs w:val="28"/>
        </w:rPr>
        <w:t>年建筑学专业通过本科、硕士学位研究生教学评估复评，同年建筑学获批天津市一流本科专业建设点；</w:t>
      </w:r>
      <w:r>
        <w:rPr>
          <w:rFonts w:ascii="宋体" w:eastAsia="宋体" w:hAnsi="宋体" w:cs="宋体" w:hint="eastAsia"/>
          <w:color w:val="auto"/>
          <w:sz w:val="28"/>
          <w:szCs w:val="28"/>
        </w:rPr>
        <w:t>2020</w:t>
      </w:r>
      <w:r>
        <w:rPr>
          <w:rFonts w:ascii="宋体" w:eastAsia="宋体" w:hAnsi="宋体" w:cs="宋体" w:hint="eastAsia"/>
          <w:color w:val="auto"/>
          <w:sz w:val="28"/>
          <w:szCs w:val="28"/>
        </w:rPr>
        <w:t>年建筑学获批国家级一流本科专业建设点。</w:t>
      </w:r>
    </w:p>
    <w:p w14:paraId="6B8A3076" w14:textId="6075E6EB" w:rsidR="00D33EF8" w:rsidRDefault="003B67E7">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依托我校城建类多学科交叉优势，利用“天津市绿色住区建设技术工程中心”、“天津绿色建筑协同创新中心”、“天津市绿色建筑产业技术创新战略联盟”、“人居环境实验室示范教学中心”及“天津城建大学建筑减碳基地”</w:t>
      </w:r>
      <w:r>
        <w:rPr>
          <w:rFonts w:ascii="宋体" w:eastAsia="宋体" w:hAnsi="宋体" w:cs="宋体" w:hint="eastAsia"/>
          <w:color w:val="auto"/>
          <w:sz w:val="28"/>
          <w:szCs w:val="28"/>
        </w:rPr>
        <w:t>5</w:t>
      </w:r>
      <w:r>
        <w:rPr>
          <w:rFonts w:ascii="宋体" w:eastAsia="宋体" w:hAnsi="宋体" w:cs="宋体" w:hint="eastAsia"/>
          <w:color w:val="auto"/>
          <w:sz w:val="28"/>
          <w:szCs w:val="28"/>
        </w:rPr>
        <w:t>个省部级科研平台，形成以研究方向带头人为核心、结构合理、后</w:t>
      </w:r>
      <w:r>
        <w:rPr>
          <w:rFonts w:ascii="宋体" w:eastAsia="宋体" w:hAnsi="宋体" w:cs="宋体" w:hint="eastAsia"/>
          <w:color w:val="auto"/>
          <w:sz w:val="28"/>
          <w:szCs w:val="28"/>
        </w:rPr>
        <w:t>备力量雄厚的导师团队。</w:t>
      </w:r>
    </w:p>
    <w:p w14:paraId="2F720346" w14:textId="77777777" w:rsidR="00D33EF8" w:rsidRDefault="003B67E7">
      <w:pPr>
        <w:pStyle w:val="Default"/>
        <w:ind w:firstLineChars="200" w:firstLine="560"/>
        <w:rPr>
          <w:rFonts w:ascii="宋体" w:eastAsia="宋体" w:hAnsi="宋体" w:cs="宋体"/>
          <w:color w:val="4472C4"/>
          <w:sz w:val="28"/>
          <w:szCs w:val="28"/>
        </w:rPr>
      </w:pPr>
      <w:r>
        <w:rPr>
          <w:rFonts w:ascii="宋体" w:eastAsia="宋体" w:hAnsi="宋体" w:cs="宋体" w:hint="eastAsia"/>
          <w:color w:val="auto"/>
          <w:sz w:val="28"/>
          <w:szCs w:val="28"/>
        </w:rPr>
        <w:t>本学位点充分利用在绿色建筑设计与评价方向的研究优势，以及在历史建筑保护与更新中的价值评价、动态监测、策划与后评价等方面的研究特色，通过近</w:t>
      </w:r>
      <w:r>
        <w:rPr>
          <w:rFonts w:ascii="宋体" w:eastAsia="宋体" w:hAnsi="宋体" w:cs="宋体" w:hint="eastAsia"/>
          <w:color w:val="auto"/>
          <w:sz w:val="28"/>
          <w:szCs w:val="28"/>
        </w:rPr>
        <w:t>5</w:t>
      </w:r>
      <w:r>
        <w:rPr>
          <w:rFonts w:ascii="宋体" w:eastAsia="宋体" w:hAnsi="宋体" w:cs="宋体" w:hint="eastAsia"/>
          <w:color w:val="auto"/>
          <w:sz w:val="28"/>
          <w:szCs w:val="28"/>
        </w:rPr>
        <w:t>年承担的省部级以上科研项目</w:t>
      </w:r>
      <w:r>
        <w:rPr>
          <w:rFonts w:ascii="宋体" w:eastAsia="宋体" w:hAnsi="宋体" w:cs="宋体"/>
          <w:color w:val="auto"/>
          <w:sz w:val="28"/>
          <w:szCs w:val="28"/>
        </w:rPr>
        <w:t>18</w:t>
      </w:r>
      <w:r>
        <w:rPr>
          <w:rFonts w:ascii="宋体" w:eastAsia="宋体" w:hAnsi="宋体" w:cs="宋体" w:hint="eastAsia"/>
          <w:color w:val="auto"/>
          <w:sz w:val="28"/>
          <w:szCs w:val="28"/>
        </w:rPr>
        <w:t>项，横向科研项目</w:t>
      </w:r>
      <w:r>
        <w:rPr>
          <w:rFonts w:ascii="宋体" w:eastAsia="宋体" w:hAnsi="宋体" w:cs="宋体" w:hint="eastAsia"/>
          <w:color w:val="auto"/>
          <w:sz w:val="28"/>
          <w:szCs w:val="28"/>
        </w:rPr>
        <w:t>1</w:t>
      </w:r>
      <w:r>
        <w:rPr>
          <w:rFonts w:ascii="宋体" w:eastAsia="宋体" w:hAnsi="宋体" w:cs="宋体"/>
          <w:color w:val="auto"/>
          <w:sz w:val="28"/>
          <w:szCs w:val="28"/>
        </w:rPr>
        <w:t>2</w:t>
      </w:r>
      <w:r>
        <w:rPr>
          <w:rFonts w:ascii="宋体" w:eastAsia="宋体" w:hAnsi="宋体" w:cs="宋体" w:hint="eastAsia"/>
          <w:color w:val="auto"/>
          <w:sz w:val="28"/>
          <w:szCs w:val="28"/>
        </w:rPr>
        <w:t>项，为学生培养提供了充分的课程教学、论文选题和实践资源，为培养高水平人才提供了充分的保障。</w:t>
      </w:r>
    </w:p>
    <w:p w14:paraId="43F45731" w14:textId="77777777" w:rsidR="00D33EF8" w:rsidRDefault="003B67E7">
      <w:pPr>
        <w:pStyle w:val="3"/>
      </w:pPr>
      <w:r>
        <w:rPr>
          <w:rFonts w:hint="eastAsia"/>
        </w:rPr>
        <w:lastRenderedPageBreak/>
        <w:t>1</w:t>
      </w:r>
      <w:r>
        <w:t>.2</w:t>
      </w:r>
      <w:r>
        <w:t>培养目标与学位标准</w:t>
      </w:r>
    </w:p>
    <w:p w14:paraId="0FC1C693" w14:textId="77777777" w:rsidR="00D33EF8" w:rsidRDefault="003B67E7">
      <w:pPr>
        <w:pStyle w:val="4"/>
        <w:ind w:left="560"/>
      </w:pPr>
      <w:r>
        <w:rPr>
          <w:rFonts w:ascii="黑体" w:hAnsi="黑体" w:cs="Arial"/>
        </w:rPr>
        <w:t>1.</w:t>
      </w:r>
      <w:r>
        <w:t>培养目标</w:t>
      </w:r>
    </w:p>
    <w:p w14:paraId="17EBABBA" w14:textId="0FE8429C"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本学位点坚持</w:t>
      </w:r>
      <w:r w:rsidRPr="00F618B2">
        <w:rPr>
          <w:rFonts w:ascii="宋体" w:eastAsia="宋体" w:hAnsi="宋体" w:cs="宋体" w:hint="eastAsia"/>
          <w:color w:val="auto"/>
          <w:sz w:val="28"/>
          <w:szCs w:val="28"/>
        </w:rPr>
        <w:t>立德树人</w:t>
      </w:r>
      <w:r w:rsidR="00F618B2" w:rsidRPr="00F618B2">
        <w:rPr>
          <w:rFonts w:ascii="宋体" w:eastAsia="宋体" w:hAnsi="宋体" w:cs="宋体" w:hint="eastAsia"/>
          <w:color w:val="auto"/>
          <w:sz w:val="28"/>
          <w:szCs w:val="28"/>
        </w:rPr>
        <w:t>为根本任务</w:t>
      </w:r>
      <w:r>
        <w:rPr>
          <w:rFonts w:ascii="宋体" w:eastAsia="宋体" w:hAnsi="宋体" w:cs="宋体" w:hint="eastAsia"/>
          <w:color w:val="auto"/>
          <w:sz w:val="28"/>
          <w:szCs w:val="28"/>
        </w:rPr>
        <w:t>，培养拥护党的基本路线和方针政策、热爱祖国、遵纪守法，具有良好的职业道德和敬业精神，科学严谨、求真务实的学习态度和工作作风，能在建筑学领域从事研究工作和工程设计的高级人才。</w:t>
      </w:r>
    </w:p>
    <w:p w14:paraId="4727CC7F" w14:textId="77777777" w:rsidR="00D33EF8" w:rsidRDefault="003B67E7">
      <w:pPr>
        <w:pStyle w:val="4"/>
        <w:ind w:left="560"/>
      </w:pPr>
      <w:r>
        <w:rPr>
          <w:rFonts w:ascii="黑体" w:hAnsi="黑体" w:hint="eastAsia"/>
        </w:rPr>
        <w:t>2</w:t>
      </w:r>
      <w:r>
        <w:rPr>
          <w:rFonts w:ascii="黑体" w:hAnsi="黑体"/>
        </w:rPr>
        <w:t>.</w:t>
      </w:r>
      <w:r>
        <w:t>学位标准</w:t>
      </w:r>
    </w:p>
    <w:p w14:paraId="5CDCFA61" w14:textId="77777777" w:rsidR="00D33EF8" w:rsidRPr="00B92897" w:rsidRDefault="003B67E7">
      <w:pPr>
        <w:widowControl/>
        <w:shd w:val="clear" w:color="auto" w:fill="FFFFFF"/>
        <w:ind w:firstLineChars="200" w:firstLine="560"/>
        <w:jc w:val="left"/>
        <w:rPr>
          <w:rFonts w:ascii="宋体" w:hAnsi="宋体" w:cs="Arial"/>
          <w:color w:val="000000"/>
          <w:kern w:val="0"/>
          <w:szCs w:val="28"/>
        </w:rPr>
      </w:pPr>
      <w:r w:rsidRPr="00B92897">
        <w:rPr>
          <w:rFonts w:ascii="宋体" w:hAnsi="宋体" w:cs="Arial"/>
          <w:color w:val="000000"/>
          <w:kern w:val="0"/>
          <w:szCs w:val="28"/>
        </w:rPr>
        <w:t>本学位点学位授予条件，按照《</w:t>
      </w:r>
      <w:r w:rsidRPr="00B92897">
        <w:rPr>
          <w:rFonts w:ascii="宋体" w:hAnsi="宋体" w:cs="Arial" w:hint="eastAsia"/>
          <w:color w:val="000000"/>
          <w:kern w:val="0"/>
          <w:szCs w:val="28"/>
        </w:rPr>
        <w:t>天津城建大学硕士学位授予工作实施办法</w:t>
      </w:r>
      <w:r w:rsidRPr="00B92897">
        <w:rPr>
          <w:rFonts w:ascii="宋体" w:hAnsi="宋体" w:cs="Arial"/>
          <w:color w:val="000000"/>
          <w:kern w:val="0"/>
          <w:szCs w:val="28"/>
        </w:rPr>
        <w:t>》（</w:t>
      </w:r>
      <w:r w:rsidRPr="00B92897">
        <w:rPr>
          <w:rFonts w:ascii="宋体" w:hAnsi="宋体" w:cs="Arial" w:hint="eastAsia"/>
          <w:color w:val="000000"/>
          <w:kern w:val="0"/>
          <w:szCs w:val="28"/>
        </w:rPr>
        <w:t>天城大政〔</w:t>
      </w:r>
      <w:r w:rsidRPr="00B92897">
        <w:rPr>
          <w:rFonts w:ascii="宋体" w:hAnsi="宋体" w:cs="Arial"/>
          <w:color w:val="000000"/>
          <w:kern w:val="0"/>
          <w:szCs w:val="28"/>
        </w:rPr>
        <w:t>2021</w:t>
      </w:r>
      <w:r w:rsidRPr="00B92897">
        <w:rPr>
          <w:rFonts w:ascii="宋体" w:hAnsi="宋体" w:cs="Arial"/>
          <w:color w:val="000000"/>
          <w:kern w:val="0"/>
          <w:szCs w:val="28"/>
        </w:rPr>
        <w:t>〕</w:t>
      </w:r>
      <w:r w:rsidRPr="00B92897">
        <w:rPr>
          <w:rFonts w:ascii="宋体" w:hAnsi="宋体" w:cs="Arial"/>
          <w:color w:val="000000"/>
          <w:kern w:val="0"/>
          <w:szCs w:val="28"/>
        </w:rPr>
        <w:t>44</w:t>
      </w:r>
      <w:r w:rsidRPr="00B92897">
        <w:rPr>
          <w:rFonts w:ascii="宋体" w:hAnsi="宋体" w:cs="Arial"/>
          <w:color w:val="000000"/>
          <w:kern w:val="0"/>
          <w:szCs w:val="28"/>
        </w:rPr>
        <w:t>号）执行。</w:t>
      </w:r>
      <w:r w:rsidRPr="00B92897">
        <w:rPr>
          <w:rFonts w:ascii="宋体" w:hAnsi="宋体" w:cs="Arial" w:hint="eastAsia"/>
          <w:color w:val="000000"/>
          <w:kern w:val="0"/>
          <w:szCs w:val="28"/>
        </w:rPr>
        <w:t>须</w:t>
      </w:r>
      <w:r w:rsidRPr="00B92897">
        <w:rPr>
          <w:rFonts w:ascii="宋体" w:hAnsi="宋体" w:cs="Arial"/>
          <w:color w:val="000000"/>
          <w:kern w:val="0"/>
          <w:szCs w:val="28"/>
        </w:rPr>
        <w:t>符合</w:t>
      </w:r>
      <w:r w:rsidRPr="00B92897">
        <w:rPr>
          <w:rFonts w:ascii="宋体" w:hAnsi="宋体" w:cs="Arial" w:hint="eastAsia"/>
          <w:color w:val="000000"/>
          <w:kern w:val="0"/>
          <w:szCs w:val="28"/>
        </w:rPr>
        <w:t>：</w:t>
      </w:r>
    </w:p>
    <w:p w14:paraId="247E37B4" w14:textId="77777777" w:rsidR="00D33EF8" w:rsidRPr="00B92897" w:rsidRDefault="003B67E7">
      <w:pPr>
        <w:widowControl/>
        <w:shd w:val="clear" w:color="auto" w:fill="FFFFFF"/>
        <w:ind w:firstLineChars="200" w:firstLine="560"/>
        <w:jc w:val="left"/>
        <w:rPr>
          <w:rFonts w:ascii="宋体" w:hAnsi="宋体" w:cs="Arial"/>
          <w:color w:val="000000"/>
          <w:kern w:val="0"/>
          <w:szCs w:val="28"/>
        </w:rPr>
      </w:pPr>
      <w:r w:rsidRPr="00B92897">
        <w:rPr>
          <w:rFonts w:ascii="宋体" w:hAnsi="宋体" w:cs="Arial" w:hint="eastAsia"/>
          <w:color w:val="000000"/>
          <w:kern w:val="0"/>
          <w:szCs w:val="28"/>
        </w:rPr>
        <w:t>（一）拥护中国共产党的领导，拥护社会主义制度，热爱祖国，遵纪守法，有较强的社会责任感，愿意为社会主义现代化建设服务；</w:t>
      </w:r>
    </w:p>
    <w:p w14:paraId="192BAD6A" w14:textId="77777777" w:rsidR="00D33EF8" w:rsidRPr="00B92897" w:rsidRDefault="003B67E7">
      <w:pPr>
        <w:widowControl/>
        <w:shd w:val="clear" w:color="auto" w:fill="FFFFFF"/>
        <w:ind w:firstLineChars="200" w:firstLine="560"/>
        <w:jc w:val="left"/>
        <w:rPr>
          <w:rFonts w:ascii="宋体" w:hAnsi="宋体" w:cs="Arial"/>
          <w:color w:val="000000"/>
          <w:kern w:val="0"/>
          <w:szCs w:val="28"/>
        </w:rPr>
      </w:pPr>
      <w:r w:rsidRPr="00B92897">
        <w:rPr>
          <w:rFonts w:ascii="宋体" w:hAnsi="宋体" w:cs="Arial" w:hint="eastAsia"/>
          <w:color w:val="000000"/>
          <w:kern w:val="0"/>
          <w:szCs w:val="28"/>
        </w:rPr>
        <w:t>（二）在规定学习期限内，完成本人培养计划中全部课程学习及必修环</w:t>
      </w:r>
      <w:r w:rsidRPr="00B92897">
        <w:rPr>
          <w:rFonts w:ascii="宋体" w:hAnsi="宋体" w:cs="Arial" w:hint="eastAsia"/>
          <w:color w:val="000000"/>
          <w:kern w:val="0"/>
          <w:szCs w:val="28"/>
        </w:rPr>
        <w:t>节，取得规定学分；</w:t>
      </w:r>
    </w:p>
    <w:p w14:paraId="3BA877C0" w14:textId="71E0AD4C" w:rsidR="00D33EF8" w:rsidRPr="00B92897" w:rsidRDefault="003B67E7">
      <w:pPr>
        <w:widowControl/>
        <w:shd w:val="clear" w:color="auto" w:fill="FFFFFF"/>
        <w:ind w:firstLineChars="200" w:firstLine="560"/>
        <w:jc w:val="left"/>
        <w:rPr>
          <w:rFonts w:ascii="宋体" w:hAnsi="宋体" w:cs="Arial"/>
          <w:color w:val="000000"/>
          <w:kern w:val="0"/>
          <w:szCs w:val="28"/>
        </w:rPr>
      </w:pPr>
      <w:r w:rsidRPr="00B92897">
        <w:rPr>
          <w:rFonts w:ascii="宋体" w:hAnsi="宋体" w:cs="Arial" w:hint="eastAsia"/>
          <w:color w:val="000000"/>
          <w:kern w:val="0"/>
          <w:szCs w:val="28"/>
        </w:rPr>
        <w:t>（三）完成学位论文研究撰写工作且通过论文答辩；</w:t>
      </w:r>
    </w:p>
    <w:p w14:paraId="4906DC16"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（四）取得一定的学术成果，学术成果要求由各学位评定分委员会根据学科专业特点和评估要求，按学术学位与专业学位分别制订，并经校学位评定委员会审定；</w:t>
      </w:r>
    </w:p>
    <w:p w14:paraId="273621F1"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（五）未同时向另一个学位授予单位提出学位申请（学校与其他高校联合培养，明确授予双方学位的情况除外）。</w:t>
      </w:r>
    </w:p>
    <w:p w14:paraId="62C0EE3E" w14:textId="0767A1BB" w:rsidR="00D33EF8" w:rsidRDefault="003B67E7">
      <w:pPr>
        <w:pStyle w:val="4"/>
        <w:ind w:left="560"/>
        <w:rPr>
          <w:rStyle w:val="40"/>
          <w:b/>
          <w:bCs/>
        </w:rPr>
      </w:pPr>
      <w:r>
        <w:rPr>
          <w:rFonts w:eastAsia="宋体" w:hint="eastAsia"/>
        </w:rPr>
        <w:lastRenderedPageBreak/>
        <w:t>硕士学位授予学术条件</w:t>
      </w:r>
    </w:p>
    <w:p w14:paraId="1E80BC9B"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申请授予硕士学位的研究生，在校学习期间，建筑学学术学位研究生需满足以下条件（</w:t>
      </w:r>
      <w:r w:rsidRPr="00B92897">
        <w:rPr>
          <w:rFonts w:ascii="宋体" w:hAnsi="宋体" w:hint="eastAsia"/>
          <w:szCs w:val="28"/>
        </w:rPr>
        <w:t>1</w:t>
      </w:r>
      <w:r w:rsidRPr="00B92897">
        <w:rPr>
          <w:rFonts w:ascii="宋体" w:hAnsi="宋体" w:hint="eastAsia"/>
          <w:szCs w:val="28"/>
        </w:rPr>
        <w:t>）至（</w:t>
      </w:r>
      <w:r w:rsidRPr="00B92897">
        <w:rPr>
          <w:rFonts w:ascii="宋体" w:hAnsi="宋体" w:hint="eastAsia"/>
          <w:szCs w:val="28"/>
        </w:rPr>
        <w:t>7</w:t>
      </w:r>
      <w:r w:rsidRPr="00B92897">
        <w:rPr>
          <w:rFonts w:ascii="宋体" w:hAnsi="宋体" w:hint="eastAsia"/>
          <w:szCs w:val="28"/>
        </w:rPr>
        <w:t>）之一。</w:t>
      </w:r>
    </w:p>
    <w:p w14:paraId="4BD0585B"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1</w:t>
      </w:r>
      <w:r w:rsidRPr="00B92897">
        <w:rPr>
          <w:rFonts w:ascii="宋体" w:hAnsi="宋体" w:hint="eastAsia"/>
          <w:szCs w:val="28"/>
        </w:rPr>
        <w:t>）在本学院认定的期刊上公开发表学术论文；</w:t>
      </w:r>
    </w:p>
    <w:p w14:paraId="12DA70EE"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2</w:t>
      </w:r>
      <w:r w:rsidRPr="00B92897">
        <w:rPr>
          <w:rFonts w:ascii="宋体" w:hAnsi="宋体" w:hint="eastAsia"/>
          <w:szCs w:val="28"/>
        </w:rPr>
        <w:t>）参加编写正式出版的学术著作（</w:t>
      </w:r>
      <w:r w:rsidRPr="00B92897">
        <w:rPr>
          <w:rFonts w:ascii="宋体" w:hAnsi="宋体" w:hint="eastAsia"/>
          <w:szCs w:val="28"/>
        </w:rPr>
        <w:t>单部著作</w:t>
      </w:r>
      <w:r w:rsidRPr="00B92897">
        <w:rPr>
          <w:rFonts w:ascii="宋体" w:hAnsi="宋体" w:hint="eastAsia"/>
          <w:szCs w:val="28"/>
        </w:rPr>
        <w:t>2</w:t>
      </w:r>
      <w:r w:rsidRPr="00B92897">
        <w:rPr>
          <w:rFonts w:ascii="宋体" w:hAnsi="宋体" w:hint="eastAsia"/>
          <w:szCs w:val="28"/>
        </w:rPr>
        <w:t>万字以上）；</w:t>
      </w:r>
    </w:p>
    <w:p w14:paraId="612B1414"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3</w:t>
      </w:r>
      <w:r w:rsidRPr="00B92897">
        <w:rPr>
          <w:rFonts w:ascii="宋体" w:hAnsi="宋体" w:hint="eastAsia"/>
          <w:szCs w:val="28"/>
        </w:rPr>
        <w:t>）主持并完成天津市研究生科研创新项目；</w:t>
      </w:r>
    </w:p>
    <w:p w14:paraId="4CAE3741" w14:textId="0BE72265"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4</w:t>
      </w:r>
      <w:r w:rsidRPr="00B92897">
        <w:rPr>
          <w:rFonts w:ascii="宋体" w:hAnsi="宋体" w:hint="eastAsia"/>
          <w:szCs w:val="28"/>
        </w:rPr>
        <w:t>）参加中国</w:t>
      </w:r>
      <w:r w:rsidR="00872584" w:rsidRPr="00B92897">
        <w:rPr>
          <w:rFonts w:ascii="宋体" w:hAnsi="宋体" w:hint="eastAsia"/>
          <w:szCs w:val="28"/>
        </w:rPr>
        <w:t>“</w:t>
      </w:r>
      <w:r w:rsidRPr="00B92897">
        <w:rPr>
          <w:rFonts w:ascii="宋体" w:hAnsi="宋体" w:hint="eastAsia"/>
          <w:szCs w:val="28"/>
        </w:rPr>
        <w:t>互联网</w:t>
      </w:r>
      <w:r w:rsidRPr="00B92897">
        <w:rPr>
          <w:rFonts w:ascii="宋体" w:hAnsi="宋体"/>
          <w:szCs w:val="28"/>
        </w:rPr>
        <w:t>+</w:t>
      </w:r>
      <w:r w:rsidR="00872584" w:rsidRPr="00B92897">
        <w:rPr>
          <w:rFonts w:ascii="宋体" w:hAnsi="宋体" w:hint="eastAsia"/>
          <w:szCs w:val="28"/>
        </w:rPr>
        <w:t>”</w:t>
      </w:r>
      <w:r w:rsidRPr="00B92897">
        <w:rPr>
          <w:rFonts w:ascii="宋体" w:hAnsi="宋体" w:hint="eastAsia"/>
          <w:szCs w:val="28"/>
        </w:rPr>
        <w:t>大学生创新创业大赛、</w:t>
      </w:r>
      <w:r w:rsidR="00872584" w:rsidRPr="00B92897">
        <w:rPr>
          <w:rFonts w:ascii="宋体" w:hAnsi="宋体" w:hint="eastAsia"/>
          <w:szCs w:val="28"/>
        </w:rPr>
        <w:t>“</w:t>
      </w:r>
      <w:r w:rsidRPr="00B92897">
        <w:rPr>
          <w:rFonts w:ascii="宋体" w:hAnsi="宋体" w:hint="eastAsia"/>
          <w:szCs w:val="28"/>
        </w:rPr>
        <w:t>挑战杯</w:t>
      </w:r>
      <w:r w:rsidR="00872584" w:rsidRPr="00B92897">
        <w:rPr>
          <w:rFonts w:ascii="宋体" w:hAnsi="宋体" w:hint="eastAsia"/>
          <w:szCs w:val="28"/>
        </w:rPr>
        <w:t>”</w:t>
      </w:r>
      <w:r w:rsidRPr="00B92897">
        <w:rPr>
          <w:rFonts w:ascii="宋体" w:hAnsi="宋体" w:hint="eastAsia"/>
          <w:szCs w:val="28"/>
        </w:rPr>
        <w:t>全国大学生课外学术科技作品竞赛、</w:t>
      </w:r>
      <w:r w:rsidR="00872584" w:rsidRPr="00B92897">
        <w:rPr>
          <w:rFonts w:ascii="宋体" w:hAnsi="宋体" w:hint="eastAsia"/>
          <w:szCs w:val="28"/>
        </w:rPr>
        <w:t>“</w:t>
      </w:r>
      <w:r w:rsidRPr="00B92897">
        <w:rPr>
          <w:rFonts w:ascii="宋体" w:hAnsi="宋体" w:hint="eastAsia"/>
          <w:szCs w:val="28"/>
        </w:rPr>
        <w:t>创青春</w:t>
      </w:r>
      <w:r w:rsidR="00872584" w:rsidRPr="00B92897">
        <w:rPr>
          <w:rFonts w:ascii="宋体" w:hAnsi="宋体" w:hint="eastAsia"/>
          <w:szCs w:val="28"/>
        </w:rPr>
        <w:t>”</w:t>
      </w:r>
      <w:r w:rsidRPr="00B92897">
        <w:rPr>
          <w:rFonts w:ascii="宋体" w:hAnsi="宋体" w:hint="eastAsia"/>
          <w:szCs w:val="28"/>
        </w:rPr>
        <w:t>全国大学生创业大赛中获国家及省级奖励（国家级奖励：金奖前</w:t>
      </w:r>
      <w:r w:rsidRPr="00B92897">
        <w:rPr>
          <w:rFonts w:ascii="宋体" w:hAnsi="宋体"/>
          <w:szCs w:val="28"/>
        </w:rPr>
        <w:t>5</w:t>
      </w:r>
      <w:r w:rsidRPr="00B92897">
        <w:rPr>
          <w:rFonts w:ascii="宋体" w:hAnsi="宋体" w:hint="eastAsia"/>
          <w:szCs w:val="28"/>
        </w:rPr>
        <w:t>名、银奖前</w:t>
      </w:r>
      <w:r w:rsidRPr="00B92897">
        <w:rPr>
          <w:rFonts w:ascii="宋体" w:hAnsi="宋体"/>
          <w:szCs w:val="28"/>
        </w:rPr>
        <w:t>3</w:t>
      </w:r>
      <w:r w:rsidRPr="00B92897">
        <w:rPr>
          <w:rFonts w:ascii="宋体" w:hAnsi="宋体" w:hint="eastAsia"/>
          <w:szCs w:val="28"/>
        </w:rPr>
        <w:t>名、铜奖前</w:t>
      </w:r>
      <w:r w:rsidRPr="00B92897">
        <w:rPr>
          <w:rFonts w:ascii="宋体" w:hAnsi="宋体"/>
          <w:szCs w:val="28"/>
        </w:rPr>
        <w:t>2</w:t>
      </w:r>
      <w:r w:rsidRPr="00B92897">
        <w:rPr>
          <w:rFonts w:ascii="宋体" w:hAnsi="宋体" w:hint="eastAsia"/>
          <w:szCs w:val="28"/>
        </w:rPr>
        <w:t>名，省级奖励：金奖前</w:t>
      </w:r>
      <w:r w:rsidRPr="00B92897">
        <w:rPr>
          <w:rFonts w:ascii="宋体" w:hAnsi="宋体"/>
          <w:szCs w:val="28"/>
        </w:rPr>
        <w:t>3</w:t>
      </w:r>
      <w:r w:rsidRPr="00B92897">
        <w:rPr>
          <w:rFonts w:ascii="宋体" w:hAnsi="宋体" w:hint="eastAsia"/>
          <w:szCs w:val="28"/>
        </w:rPr>
        <w:t>名、银奖前</w:t>
      </w:r>
      <w:r w:rsidRPr="00B92897">
        <w:rPr>
          <w:rFonts w:ascii="宋体" w:hAnsi="宋体"/>
          <w:szCs w:val="28"/>
        </w:rPr>
        <w:t>2</w:t>
      </w:r>
      <w:r w:rsidRPr="00B92897">
        <w:rPr>
          <w:rFonts w:ascii="宋体" w:hAnsi="宋体" w:hint="eastAsia"/>
          <w:szCs w:val="28"/>
        </w:rPr>
        <w:t>名、铜奖第</w:t>
      </w:r>
      <w:r w:rsidRPr="00B92897">
        <w:rPr>
          <w:rFonts w:ascii="宋体" w:hAnsi="宋体"/>
          <w:szCs w:val="28"/>
        </w:rPr>
        <w:t>1</w:t>
      </w:r>
      <w:r w:rsidRPr="00B92897">
        <w:rPr>
          <w:rFonts w:ascii="宋体" w:hAnsi="宋体" w:hint="eastAsia"/>
          <w:szCs w:val="28"/>
        </w:rPr>
        <w:t>名）；或参加全国性学科竞赛中获国家级奖励（金奖前</w:t>
      </w:r>
      <w:r w:rsidRPr="00B92897">
        <w:rPr>
          <w:rFonts w:ascii="宋体" w:hAnsi="宋体"/>
          <w:szCs w:val="28"/>
        </w:rPr>
        <w:t>5</w:t>
      </w:r>
      <w:r w:rsidRPr="00B92897">
        <w:rPr>
          <w:rFonts w:ascii="宋体" w:hAnsi="宋体" w:hint="eastAsia"/>
          <w:szCs w:val="28"/>
        </w:rPr>
        <w:t>名、银奖前</w:t>
      </w:r>
      <w:r w:rsidRPr="00B92897">
        <w:rPr>
          <w:rFonts w:ascii="宋体" w:hAnsi="宋体"/>
          <w:szCs w:val="28"/>
        </w:rPr>
        <w:t>3</w:t>
      </w:r>
      <w:r w:rsidRPr="00B92897">
        <w:rPr>
          <w:rFonts w:ascii="宋体" w:hAnsi="宋体" w:hint="eastAsia"/>
          <w:szCs w:val="28"/>
        </w:rPr>
        <w:t>名、铜奖前</w:t>
      </w:r>
      <w:r w:rsidRPr="00B92897">
        <w:rPr>
          <w:rFonts w:ascii="宋体" w:hAnsi="宋体"/>
          <w:szCs w:val="28"/>
        </w:rPr>
        <w:t>2</w:t>
      </w:r>
      <w:r w:rsidRPr="00B92897">
        <w:rPr>
          <w:rFonts w:ascii="宋体" w:hAnsi="宋体" w:hint="eastAsia"/>
          <w:szCs w:val="28"/>
        </w:rPr>
        <w:t>名）；</w:t>
      </w:r>
    </w:p>
    <w:p w14:paraId="528A9958"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5</w:t>
      </w:r>
      <w:r w:rsidRPr="00B92897">
        <w:rPr>
          <w:rFonts w:ascii="宋体" w:hAnsi="宋体" w:hint="eastAsia"/>
          <w:szCs w:val="28"/>
        </w:rPr>
        <w:t>）获授权国家发明专利；</w:t>
      </w:r>
    </w:p>
    <w:p w14:paraId="2A29B1EB"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6</w:t>
      </w:r>
      <w:r w:rsidRPr="00B92897">
        <w:rPr>
          <w:rFonts w:ascii="宋体" w:hAnsi="宋体" w:hint="eastAsia"/>
          <w:szCs w:val="28"/>
        </w:rPr>
        <w:t>）获省部级及以上科技奖励，并具有政府颁发的奖励证书；</w:t>
      </w:r>
    </w:p>
    <w:p w14:paraId="1C9B3BE5"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hint="eastAsia"/>
          <w:szCs w:val="28"/>
        </w:rPr>
        <w:t>7</w:t>
      </w:r>
      <w:r w:rsidRPr="00B92897">
        <w:rPr>
          <w:rFonts w:ascii="宋体" w:hAnsi="宋体" w:hint="eastAsia"/>
          <w:szCs w:val="28"/>
        </w:rPr>
        <w:t>）署名参加纵向科研项目（应在科研项目正式的合同书、结题（验收）报告等文件中有硕士研究生本人署名）；</w:t>
      </w:r>
    </w:p>
    <w:p w14:paraId="0A558A86"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szCs w:val="28"/>
        </w:rPr>
        <w:t>8</w:t>
      </w:r>
      <w:r w:rsidRPr="00B92897">
        <w:rPr>
          <w:rFonts w:ascii="宋体" w:hAnsi="宋体" w:hint="eastAsia"/>
          <w:szCs w:val="28"/>
        </w:rPr>
        <w:t>）被省级及以上部门采纳且得到实施应用（提供应用证明）的对策研究报告、建言献策报告、调研报告等智库研究成果；</w:t>
      </w:r>
    </w:p>
    <w:p w14:paraId="0EAFF15A"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szCs w:val="28"/>
        </w:rPr>
        <w:t>9</w:t>
      </w:r>
      <w:r w:rsidRPr="00B92897">
        <w:rPr>
          <w:rFonts w:ascii="宋体" w:hAnsi="宋体"/>
          <w:szCs w:val="28"/>
        </w:rPr>
        <w:t>）获授权实用新型专利，或软件著作权；或设计作品获得局级以上勘察设计奖并有证书；</w:t>
      </w:r>
    </w:p>
    <w:p w14:paraId="0ECAC5CB"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szCs w:val="28"/>
        </w:rPr>
        <w:t>10</w:t>
      </w:r>
      <w:r w:rsidRPr="00B92897">
        <w:rPr>
          <w:rFonts w:ascii="宋体" w:hAnsi="宋体"/>
          <w:szCs w:val="28"/>
        </w:rPr>
        <w:t>）署名参加横向项目或工程项目（应在横向项目或工程项目正式的合同书、施工方案、竣工报告及结题（验收）报告等文件中有</w:t>
      </w:r>
      <w:r w:rsidRPr="00B92897">
        <w:rPr>
          <w:rFonts w:ascii="宋体" w:hAnsi="宋体"/>
          <w:szCs w:val="28"/>
        </w:rPr>
        <w:lastRenderedPageBreak/>
        <w:t>硕士研究生本人署名）；</w:t>
      </w:r>
    </w:p>
    <w:p w14:paraId="1412A3C9"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szCs w:val="28"/>
        </w:rPr>
        <w:t>11</w:t>
      </w:r>
      <w:r w:rsidRPr="00B92897">
        <w:rPr>
          <w:rFonts w:ascii="宋体" w:hAnsi="宋体"/>
          <w:szCs w:val="28"/>
        </w:rPr>
        <w:t>）在国际或全国大学生建筑类设计竞赛或论文竞赛中获奖并取得证书，一等奖前</w:t>
      </w:r>
      <w:r w:rsidRPr="00B92897">
        <w:rPr>
          <w:rFonts w:ascii="宋体" w:hAnsi="宋体"/>
          <w:szCs w:val="28"/>
        </w:rPr>
        <w:t>5</w:t>
      </w:r>
      <w:r w:rsidRPr="00B92897">
        <w:rPr>
          <w:rFonts w:ascii="宋体" w:hAnsi="宋体"/>
          <w:szCs w:val="28"/>
        </w:rPr>
        <w:t>名，二等奖前</w:t>
      </w:r>
      <w:r w:rsidRPr="00B92897">
        <w:rPr>
          <w:rFonts w:ascii="宋体" w:hAnsi="宋体"/>
          <w:szCs w:val="28"/>
        </w:rPr>
        <w:t>3</w:t>
      </w:r>
      <w:r w:rsidRPr="00B92897">
        <w:rPr>
          <w:rFonts w:ascii="宋体" w:hAnsi="宋体"/>
          <w:szCs w:val="28"/>
        </w:rPr>
        <w:t>名，三等奖前</w:t>
      </w:r>
      <w:r w:rsidRPr="00B92897">
        <w:rPr>
          <w:rFonts w:ascii="宋体" w:hAnsi="宋体"/>
          <w:szCs w:val="28"/>
        </w:rPr>
        <w:t>2</w:t>
      </w:r>
      <w:r w:rsidRPr="00B92897">
        <w:rPr>
          <w:rFonts w:ascii="宋体" w:hAnsi="宋体"/>
          <w:szCs w:val="28"/>
        </w:rPr>
        <w:t>名，佳作（入围）奖第</w:t>
      </w:r>
      <w:r w:rsidRPr="00B92897">
        <w:rPr>
          <w:rFonts w:ascii="宋体" w:hAnsi="宋体"/>
          <w:szCs w:val="28"/>
        </w:rPr>
        <w:t>1</w:t>
      </w:r>
      <w:r w:rsidRPr="00B92897">
        <w:rPr>
          <w:rFonts w:ascii="宋体" w:hAnsi="宋体"/>
          <w:szCs w:val="28"/>
        </w:rPr>
        <w:t>名；</w:t>
      </w:r>
    </w:p>
    <w:p w14:paraId="2A2221D9"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w:t>
      </w:r>
      <w:r w:rsidRPr="00B92897">
        <w:rPr>
          <w:rFonts w:ascii="宋体" w:hAnsi="宋体"/>
          <w:szCs w:val="28"/>
        </w:rPr>
        <w:t>12</w:t>
      </w:r>
      <w:r w:rsidRPr="00B92897">
        <w:rPr>
          <w:rFonts w:ascii="宋体" w:hAnsi="宋体"/>
          <w:szCs w:val="28"/>
        </w:rPr>
        <w:t>）在国际会议或具有</w:t>
      </w:r>
      <w:r w:rsidRPr="00B92897">
        <w:rPr>
          <w:rFonts w:ascii="宋体" w:hAnsi="宋体"/>
          <w:szCs w:val="28"/>
        </w:rPr>
        <w:t>ISSN</w:t>
      </w:r>
      <w:r w:rsidRPr="00B92897">
        <w:rPr>
          <w:rFonts w:ascii="宋体" w:hAnsi="宋体"/>
          <w:szCs w:val="28"/>
        </w:rPr>
        <w:t>刊号的期刊上发表学术论文。</w:t>
      </w:r>
    </w:p>
    <w:p w14:paraId="7A7954C6" w14:textId="07ECDBF6" w:rsidR="00D33EF8" w:rsidRPr="00B92897" w:rsidRDefault="003B67E7">
      <w:pPr>
        <w:spacing w:line="360" w:lineRule="auto"/>
        <w:ind w:firstLine="480"/>
        <w:rPr>
          <w:rFonts w:ascii="宋体" w:hAnsi="宋体"/>
          <w:szCs w:val="28"/>
        </w:rPr>
      </w:pPr>
      <w:r w:rsidRPr="00B92897">
        <w:rPr>
          <w:rFonts w:ascii="宋体" w:hAnsi="宋体" w:hint="eastAsia"/>
          <w:szCs w:val="28"/>
        </w:rPr>
        <w:t>学术论文、专利、软件著作权、智库成果第一单位须为天津城建大学，硕士研究生本人须为第一完成人（含指导教师为第一完成人，硕士研究生为第二完成人，或研究生指导团队成员为第一完成人、研究</w:t>
      </w:r>
      <w:r w:rsidRPr="00B92897">
        <w:rPr>
          <w:rFonts w:ascii="宋体" w:hAnsi="宋体" w:hint="eastAsia"/>
          <w:szCs w:val="28"/>
        </w:rPr>
        <w:t>生为第二完成人、团队负责人为通讯作者），学术成果均须与学位论文内容相关</w:t>
      </w:r>
      <w:r w:rsidR="00872584" w:rsidRPr="00B92897">
        <w:rPr>
          <w:rFonts w:ascii="宋体" w:hAnsi="宋体" w:hint="eastAsia"/>
          <w:szCs w:val="28"/>
        </w:rPr>
        <w:t>，</w:t>
      </w:r>
      <w:r w:rsidRPr="00B92897">
        <w:rPr>
          <w:rFonts w:ascii="宋体" w:hAnsi="宋体" w:hint="eastAsia"/>
          <w:szCs w:val="28"/>
        </w:rPr>
        <w:t>提供论文正式录用证明的视同为发表。</w:t>
      </w:r>
    </w:p>
    <w:p w14:paraId="1BB6330F" w14:textId="77777777" w:rsidR="00D33EF8" w:rsidRPr="00B92897" w:rsidRDefault="003B67E7">
      <w:pPr>
        <w:spacing w:line="360" w:lineRule="auto"/>
        <w:ind w:firstLine="480"/>
        <w:rPr>
          <w:rFonts w:ascii="宋体" w:hAnsi="宋体"/>
          <w:szCs w:val="28"/>
        </w:rPr>
      </w:pPr>
      <w:r w:rsidRPr="00B92897">
        <w:rPr>
          <w:rFonts w:ascii="宋体" w:hAnsi="宋体" w:hint="eastAsia"/>
          <w:szCs w:val="28"/>
        </w:rPr>
        <w:t>全日制硕士研究生未满足本学位授予学术成果要求的，可正常毕业，但暂缓授予硕士学位。</w:t>
      </w:r>
    </w:p>
    <w:p w14:paraId="37D17521" w14:textId="77777777" w:rsidR="00D33EF8" w:rsidRDefault="003B67E7">
      <w:pPr>
        <w:pStyle w:val="2"/>
      </w:pPr>
      <w:r>
        <w:t>二、基本条件</w:t>
      </w:r>
    </w:p>
    <w:p w14:paraId="7987530B" w14:textId="1A3CFDD9" w:rsidR="00D33EF8" w:rsidRPr="00D34D09" w:rsidRDefault="003B67E7">
      <w:pPr>
        <w:pStyle w:val="3"/>
      </w:pPr>
      <w:r w:rsidRPr="00872584">
        <w:rPr>
          <w:rStyle w:val="30"/>
          <w:b/>
          <w:bCs/>
          <w:szCs w:val="28"/>
        </w:rPr>
        <w:t>2.1</w:t>
      </w:r>
      <w:r w:rsidRPr="00872584">
        <w:rPr>
          <w:rStyle w:val="30"/>
          <w:b/>
          <w:bCs/>
          <w:szCs w:val="28"/>
        </w:rPr>
        <w:t>培养</w:t>
      </w:r>
      <w:r w:rsidRPr="00D34D09">
        <w:t>方向</w:t>
      </w:r>
    </w:p>
    <w:p w14:paraId="5789C7F4" w14:textId="77777777" w:rsidR="00D33EF8" w:rsidRDefault="003B67E7">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本学位点紧密围绕地区经济社会发展，面向天津地区经济社会发展需求，充分利用天津滨海新区开发、中新天津生态城建设以及历史文化名城建设等地域特色突出的资源优势，形成了地域文化与公共空间设计、建筑遗产保护与可持续利用、绿色建筑设计与评价三个培养方向。</w:t>
      </w:r>
    </w:p>
    <w:p w14:paraId="5BC8B853" w14:textId="77777777" w:rsidR="00D33EF8" w:rsidRDefault="003B67E7">
      <w:pPr>
        <w:pStyle w:val="4"/>
        <w:ind w:left="560"/>
      </w:pPr>
      <w:r>
        <w:rPr>
          <w:rFonts w:hint="eastAsia"/>
        </w:rPr>
        <w:lastRenderedPageBreak/>
        <w:t>（</w:t>
      </w:r>
      <w:r>
        <w:rPr>
          <w:rFonts w:hint="eastAsia"/>
        </w:rPr>
        <w:t>1</w:t>
      </w:r>
      <w:r>
        <w:rPr>
          <w:rFonts w:hint="eastAsia"/>
        </w:rPr>
        <w:t>）建筑设计及其理论——地域文化与公共空间设计</w:t>
      </w:r>
    </w:p>
    <w:p w14:paraId="3E543C71" w14:textId="77777777" w:rsidR="00D33EF8" w:rsidRDefault="003B67E7">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京津冀一体化为研究背景，以地域文化为研究视角，围绕对北方地区城市公共空间及建筑设计、适老建筑设计和新型村镇化建设等社会重大研究课题进行创新性研究；深入挖掘城市地域文化特色，探讨城市及建筑公共空间的设计及评价方法；建立本地区适宜的适老建筑设计原则、指标和应对策略；构建适合北方地区的新型城镇建设体系和建造标准，形成建筑理论多元化、场所精神地域化、建造技术现代化的研究特色。</w:t>
      </w:r>
    </w:p>
    <w:p w14:paraId="409F914B" w14:textId="77777777" w:rsidR="00D33EF8" w:rsidRDefault="003B67E7">
      <w:pPr>
        <w:pStyle w:val="4"/>
        <w:ind w:left="560"/>
      </w:pPr>
      <w:r>
        <w:rPr>
          <w:rFonts w:hint="eastAsia"/>
        </w:rPr>
        <w:t>（</w:t>
      </w:r>
      <w:r>
        <w:rPr>
          <w:rFonts w:hint="eastAsia"/>
        </w:rPr>
        <w:t>2</w:t>
      </w:r>
      <w:r>
        <w:rPr>
          <w:rFonts w:hint="eastAsia"/>
        </w:rPr>
        <w:t>）建筑历史与理论——建筑遗产保护与可持续利用</w:t>
      </w:r>
    </w:p>
    <w:p w14:paraId="4495C6B5" w14:textId="77777777" w:rsidR="00D33EF8" w:rsidRDefault="003B67E7">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应用数字技术、定量分析等手段建立评价体系，</w:t>
      </w:r>
      <w:r>
        <w:rPr>
          <w:rFonts w:ascii="宋体" w:eastAsia="宋体" w:hAnsi="宋体" w:cs="宋体" w:hint="eastAsia"/>
          <w:color w:val="auto"/>
          <w:sz w:val="28"/>
          <w:szCs w:val="28"/>
        </w:rPr>
        <w:t>对历史村镇、历史街区、历史建筑、工业遗存保护与再利用进行保护策略、保护方法方面的分析研究，对传统历史建筑建造方法研究，利用现有建筑测绘的技术优势，进行数据获取、储存、分析、保护设计的数字化研究。</w:t>
      </w:r>
    </w:p>
    <w:p w14:paraId="40F4ED23" w14:textId="77777777" w:rsidR="00D33EF8" w:rsidRDefault="003B67E7">
      <w:pPr>
        <w:pStyle w:val="4"/>
        <w:ind w:left="560"/>
      </w:pPr>
      <w:r>
        <w:rPr>
          <w:rFonts w:hint="eastAsia"/>
        </w:rPr>
        <w:t>（</w:t>
      </w:r>
      <w:r>
        <w:rPr>
          <w:rFonts w:hint="eastAsia"/>
        </w:rPr>
        <w:t>3</w:t>
      </w:r>
      <w:r>
        <w:rPr>
          <w:rFonts w:hint="eastAsia"/>
        </w:rPr>
        <w:t>）建筑技术科学——绿色建筑物理环境设计与评价</w:t>
      </w:r>
    </w:p>
    <w:p w14:paraId="0F3A3A53" w14:textId="77777777" w:rsidR="00D33EF8" w:rsidRDefault="003B67E7">
      <w:pPr>
        <w:pStyle w:val="Default"/>
        <w:ind w:firstLine="570"/>
      </w:pPr>
      <w:r>
        <w:rPr>
          <w:rFonts w:ascii="宋体" w:eastAsia="宋体" w:hAnsi="宋体" w:cs="宋体" w:hint="eastAsia"/>
          <w:color w:val="auto"/>
          <w:sz w:val="28"/>
          <w:szCs w:val="28"/>
        </w:rPr>
        <w:t>以绿色建筑为研究对象，突出绿色建筑与环境的综合性能与效果，研究以定量化数据为设计依据的绿色建筑设计方法与关键技术；以关键技术在绿色建筑实际运营中相关指标的监测、检测为基础，建立以运营指标量化数据为基础的绿色建筑技术与指标评价体系。</w:t>
      </w:r>
    </w:p>
    <w:p w14:paraId="47DC3720" w14:textId="77777777" w:rsidR="00D33EF8" w:rsidRDefault="003B67E7">
      <w:pPr>
        <w:pStyle w:val="3"/>
        <w:rPr>
          <w:rStyle w:val="30"/>
          <w:b/>
          <w:bCs/>
        </w:rPr>
      </w:pPr>
      <w:r>
        <w:rPr>
          <w:rStyle w:val="30"/>
          <w:rFonts w:hint="eastAsia"/>
          <w:b/>
          <w:bCs/>
        </w:rPr>
        <w:lastRenderedPageBreak/>
        <w:t>2</w:t>
      </w:r>
      <w:r>
        <w:rPr>
          <w:rStyle w:val="30"/>
          <w:b/>
          <w:bCs/>
        </w:rPr>
        <w:t>.2</w:t>
      </w:r>
      <w:r>
        <w:rPr>
          <w:rStyle w:val="30"/>
          <w:b/>
          <w:bCs/>
        </w:rPr>
        <w:t>师资队伍</w:t>
      </w:r>
    </w:p>
    <w:p w14:paraId="663BB092" w14:textId="6B41C8A0" w:rsidR="00D33EF8" w:rsidRPr="00D40127" w:rsidRDefault="003B67E7">
      <w:pPr>
        <w:widowControl/>
        <w:ind w:firstLineChars="200" w:firstLine="560"/>
        <w:rPr>
          <w:rFonts w:ascii="宋体" w:hAnsi="宋体" w:cs="Times New Roman"/>
        </w:rPr>
      </w:pPr>
      <w:r w:rsidRPr="00D40127">
        <w:rPr>
          <w:rFonts w:ascii="宋体" w:hAnsi="宋体" w:cs="Times New Roman"/>
        </w:rPr>
        <w:t>本学位点现有专任教</w:t>
      </w:r>
      <w:r w:rsidRPr="00D40127">
        <w:rPr>
          <w:rFonts w:ascii="宋体" w:hAnsi="宋体" w:cs="Times New Roman"/>
        </w:rPr>
        <w:t>师</w:t>
      </w:r>
      <w:r w:rsidRPr="00D40127">
        <w:rPr>
          <w:rFonts w:ascii="宋体" w:hAnsi="宋体" w:cs="Times New Roman"/>
        </w:rPr>
        <w:t>45</w:t>
      </w:r>
      <w:r w:rsidRPr="00D40127">
        <w:rPr>
          <w:rFonts w:ascii="宋体" w:hAnsi="宋体" w:cs="Times New Roman"/>
        </w:rPr>
        <w:t>人，其中正教授</w:t>
      </w:r>
      <w:r w:rsidRPr="00D40127">
        <w:rPr>
          <w:rFonts w:ascii="宋体" w:hAnsi="宋体" w:cs="Times New Roman"/>
        </w:rPr>
        <w:t>8</w:t>
      </w:r>
      <w:r w:rsidRPr="00D40127">
        <w:rPr>
          <w:rFonts w:ascii="宋体" w:hAnsi="宋体" w:cs="Times New Roman"/>
        </w:rPr>
        <w:t>人（</w:t>
      </w:r>
      <w:r w:rsidRPr="00D40127">
        <w:rPr>
          <w:rFonts w:ascii="宋体" w:hAnsi="宋体" w:cs="Times New Roman"/>
        </w:rPr>
        <w:t>17.78%</w:t>
      </w:r>
      <w:r w:rsidRPr="00D40127">
        <w:rPr>
          <w:rFonts w:ascii="宋体" w:hAnsi="宋体" w:cs="Times New Roman"/>
        </w:rPr>
        <w:t>），副教授</w:t>
      </w:r>
      <w:r w:rsidRPr="00D40127">
        <w:rPr>
          <w:rFonts w:ascii="宋体" w:hAnsi="宋体" w:cs="Times New Roman"/>
        </w:rPr>
        <w:t>16</w:t>
      </w:r>
      <w:r w:rsidRPr="00D40127">
        <w:rPr>
          <w:rFonts w:ascii="宋体" w:hAnsi="宋体" w:cs="Times New Roman"/>
        </w:rPr>
        <w:t>人（</w:t>
      </w:r>
      <w:r w:rsidRPr="00D40127">
        <w:rPr>
          <w:rFonts w:ascii="宋体" w:hAnsi="宋体" w:cs="Times New Roman"/>
        </w:rPr>
        <w:t>35.56%</w:t>
      </w:r>
      <w:r w:rsidRPr="00D40127">
        <w:rPr>
          <w:rFonts w:ascii="宋体" w:hAnsi="宋体" w:cs="Times New Roman"/>
        </w:rPr>
        <w:t>），</w:t>
      </w:r>
      <w:r w:rsidRPr="00D40127">
        <w:rPr>
          <w:rFonts w:ascii="宋体" w:hAnsi="宋体" w:cs="Times New Roman"/>
        </w:rPr>
        <w:t>97.78%</w:t>
      </w:r>
      <w:r w:rsidRPr="00D40127">
        <w:rPr>
          <w:rFonts w:ascii="宋体" w:hAnsi="宋体" w:cs="Times New Roman"/>
        </w:rPr>
        <w:t>具有硕士及以上研究生学历，</w:t>
      </w:r>
      <w:r w:rsidRPr="00D40127">
        <w:rPr>
          <w:rFonts w:ascii="宋体" w:hAnsi="宋体" w:cs="Times New Roman"/>
        </w:rPr>
        <w:t>75.56%</w:t>
      </w:r>
      <w:r w:rsidRPr="00D40127">
        <w:rPr>
          <w:rFonts w:ascii="宋体" w:hAnsi="宋体" w:cs="Times New Roman"/>
        </w:rPr>
        <w:t>具有博士学位，知识结构合理，</w:t>
      </w:r>
      <w:r w:rsidRPr="00D40127">
        <w:rPr>
          <w:rFonts w:ascii="宋体" w:hAnsi="宋体" w:cs="Times New Roman"/>
          <w:color w:val="000000"/>
          <w:lang w:bidi="ar"/>
        </w:rPr>
        <w:t>基本形成了以中青年教师为主的师资队伍</w:t>
      </w:r>
      <w:r w:rsidRPr="00D40127">
        <w:rPr>
          <w:rFonts w:ascii="宋体" w:hAnsi="宋体" w:cs="Times New Roman"/>
        </w:rPr>
        <w:t>（表</w:t>
      </w:r>
      <w:r w:rsidRPr="00D40127">
        <w:rPr>
          <w:rFonts w:ascii="宋体" w:hAnsi="宋体" w:cs="Times New Roman"/>
        </w:rPr>
        <w:t>1</w:t>
      </w:r>
      <w:r w:rsidRPr="00D40127">
        <w:rPr>
          <w:rFonts w:ascii="宋体" w:hAnsi="宋体" w:cs="Times New Roman"/>
        </w:rPr>
        <w:t>）。其中</w:t>
      </w:r>
      <w:r w:rsidRPr="00D40127">
        <w:rPr>
          <w:rFonts w:ascii="宋体" w:hAnsi="宋体" w:cs="Times New Roman"/>
          <w:szCs w:val="21"/>
        </w:rPr>
        <w:t>天津市教学名师</w:t>
      </w:r>
      <w:r w:rsidRPr="00D40127">
        <w:rPr>
          <w:rFonts w:ascii="宋体" w:hAnsi="宋体" w:cs="Times New Roman"/>
          <w:szCs w:val="21"/>
        </w:rPr>
        <w:t>1</w:t>
      </w:r>
      <w:r w:rsidRPr="00D40127">
        <w:rPr>
          <w:rFonts w:ascii="宋体" w:hAnsi="宋体" w:cs="Times New Roman"/>
          <w:szCs w:val="21"/>
        </w:rPr>
        <w:t>人，天津市特聘教授</w:t>
      </w:r>
      <w:r w:rsidRPr="00D40127">
        <w:rPr>
          <w:rFonts w:ascii="宋体" w:hAnsi="宋体" w:cs="Times New Roman"/>
          <w:szCs w:val="21"/>
        </w:rPr>
        <w:t>1</w:t>
      </w:r>
      <w:r w:rsidRPr="00D40127">
        <w:rPr>
          <w:rFonts w:ascii="宋体" w:hAnsi="宋体" w:cs="Times New Roman"/>
          <w:szCs w:val="21"/>
        </w:rPr>
        <w:t>人，入选天津市级人才培养计划</w:t>
      </w:r>
      <w:r w:rsidRPr="00D40127">
        <w:rPr>
          <w:rFonts w:ascii="宋体" w:hAnsi="宋体" w:cs="Times New Roman"/>
          <w:szCs w:val="21"/>
        </w:rPr>
        <w:t>4</w:t>
      </w:r>
      <w:r w:rsidRPr="00D40127">
        <w:rPr>
          <w:rFonts w:ascii="宋体" w:hAnsi="宋体" w:cs="Times New Roman"/>
          <w:szCs w:val="21"/>
        </w:rPr>
        <w:t>人次、天津市教委人才培养计划</w:t>
      </w:r>
      <w:r w:rsidRPr="00D40127">
        <w:rPr>
          <w:rFonts w:ascii="宋体" w:hAnsi="宋体" w:cs="Times New Roman"/>
          <w:szCs w:val="21"/>
        </w:rPr>
        <w:t>12</w:t>
      </w:r>
      <w:r w:rsidRPr="00D40127">
        <w:rPr>
          <w:rFonts w:ascii="宋体" w:hAnsi="宋体" w:cs="Times New Roman"/>
          <w:szCs w:val="21"/>
        </w:rPr>
        <w:t>人次。</w:t>
      </w:r>
      <w:r w:rsidRPr="00D40127">
        <w:rPr>
          <w:rFonts w:ascii="宋体" w:hAnsi="宋体" w:cs="Times New Roman"/>
        </w:rPr>
        <w:t>专任教师具有较强的工程实践经验，具有一级注册建筑师执业资格证书及具备相应行业工作经验的教师占</w:t>
      </w:r>
      <w:r w:rsidRPr="00D40127">
        <w:rPr>
          <w:rFonts w:ascii="宋体" w:hAnsi="宋体" w:cs="Times New Roman"/>
        </w:rPr>
        <w:t>60%</w:t>
      </w:r>
      <w:r w:rsidRPr="00D40127">
        <w:rPr>
          <w:rFonts w:ascii="宋体" w:hAnsi="宋体" w:cs="Times New Roman"/>
        </w:rPr>
        <w:t>（表</w:t>
      </w:r>
      <w:r w:rsidRPr="00D40127">
        <w:rPr>
          <w:rFonts w:ascii="宋体" w:hAnsi="宋体" w:cs="Times New Roman"/>
        </w:rPr>
        <w:t>2</w:t>
      </w:r>
      <w:r w:rsidRPr="00D40127">
        <w:rPr>
          <w:rFonts w:ascii="宋体" w:hAnsi="宋体" w:cs="Times New Roman"/>
        </w:rPr>
        <w:t>），聘请有实际经验的高级建筑师作为行业教师</w:t>
      </w:r>
      <w:r w:rsidRPr="00D40127">
        <w:rPr>
          <w:rFonts w:ascii="宋体" w:hAnsi="宋体" w:cs="Times New Roman"/>
        </w:rPr>
        <w:t>24</w:t>
      </w:r>
      <w:r w:rsidRPr="00D40127">
        <w:rPr>
          <w:rFonts w:ascii="宋体" w:hAnsi="宋体" w:cs="Times New Roman"/>
        </w:rPr>
        <w:t>人，为专任教师总数的</w:t>
      </w:r>
      <w:r w:rsidRPr="00D40127">
        <w:rPr>
          <w:rFonts w:ascii="宋体" w:hAnsi="宋体" w:cs="Times New Roman"/>
        </w:rPr>
        <w:t>53.33%</w:t>
      </w:r>
      <w:r w:rsidRPr="00D40127">
        <w:rPr>
          <w:rFonts w:ascii="宋体" w:hAnsi="宋体" w:cs="Times New Roman"/>
        </w:rPr>
        <w:t>。</w:t>
      </w:r>
    </w:p>
    <w:p w14:paraId="1AF1CB1A" w14:textId="77777777" w:rsidR="00D33EF8" w:rsidRPr="0006158E" w:rsidRDefault="003B67E7">
      <w:pPr>
        <w:widowControl/>
        <w:spacing w:beforeLines="50" w:before="156"/>
        <w:jc w:val="center"/>
        <w:rPr>
          <w:rFonts w:ascii="宋体" w:hAnsi="宋体" w:cs="Times New Roman"/>
          <w:sz w:val="21"/>
          <w:szCs w:val="21"/>
        </w:rPr>
      </w:pPr>
      <w:r w:rsidRPr="0006158E">
        <w:rPr>
          <w:rFonts w:ascii="宋体" w:hAnsi="宋体" w:cs="Times New Roman"/>
          <w:color w:val="000000"/>
          <w:sz w:val="21"/>
          <w:szCs w:val="21"/>
          <w:lang w:bidi="ar"/>
        </w:rPr>
        <w:t>表</w:t>
      </w:r>
      <w:r w:rsidRPr="0006158E">
        <w:rPr>
          <w:rFonts w:ascii="宋体" w:hAnsi="宋体" w:cs="Times New Roman"/>
          <w:color w:val="000000"/>
          <w:sz w:val="21"/>
          <w:szCs w:val="21"/>
          <w:lang w:bidi="ar"/>
        </w:rPr>
        <w:t>1</w:t>
      </w:r>
      <w:r w:rsidRPr="0006158E">
        <w:rPr>
          <w:rFonts w:ascii="宋体" w:hAnsi="宋体" w:cs="Times New Roman"/>
          <w:color w:val="000000"/>
          <w:sz w:val="21"/>
          <w:szCs w:val="21"/>
          <w:lang w:bidi="ar"/>
        </w:rPr>
        <w:t>本学位点专任教师年</w:t>
      </w:r>
      <w:r w:rsidRPr="0006158E">
        <w:rPr>
          <w:rFonts w:ascii="宋体" w:hAnsi="宋体" w:cs="Times New Roman"/>
          <w:color w:val="000000"/>
          <w:sz w:val="21"/>
          <w:szCs w:val="21"/>
          <w:lang w:bidi="ar"/>
        </w:rPr>
        <w:t>龄构成一览表</w:t>
      </w:r>
    </w:p>
    <w:tbl>
      <w:tblPr>
        <w:tblStyle w:val="a7"/>
        <w:tblW w:w="0" w:type="auto"/>
        <w:tblLook w:val="04A0" w:firstRow="1" w:lastRow="0" w:firstColumn="1" w:lastColumn="0" w:noHBand="0" w:noVBand="1"/>
      </w:tblPr>
      <w:tblGrid>
        <w:gridCol w:w="1373"/>
        <w:gridCol w:w="1384"/>
        <w:gridCol w:w="1384"/>
        <w:gridCol w:w="1384"/>
        <w:gridCol w:w="1462"/>
        <w:gridCol w:w="1309"/>
      </w:tblGrid>
      <w:tr w:rsidR="00D33EF8" w:rsidRPr="0006158E" w14:paraId="315315CC" w14:textId="77777777">
        <w:tc>
          <w:tcPr>
            <w:tcW w:w="1418" w:type="dxa"/>
            <w:vAlign w:val="center"/>
          </w:tcPr>
          <w:p w14:paraId="490953CD" w14:textId="77777777" w:rsidR="00D33EF8" w:rsidRPr="0006158E" w:rsidRDefault="003B67E7">
            <w:pPr>
              <w:pStyle w:val="Default"/>
              <w:jc w:val="center"/>
              <w:rPr>
                <w:rFonts w:ascii="宋体" w:eastAsia="宋体" w:hAnsi="宋体" w:cs="Times New Roman"/>
                <w:b/>
                <w:bCs/>
                <w:color w:val="auto"/>
                <w:sz w:val="21"/>
                <w:szCs w:val="21"/>
              </w:rPr>
            </w:pPr>
            <w:r w:rsidRPr="0006158E">
              <w:rPr>
                <w:rFonts w:ascii="宋体" w:eastAsia="宋体" w:hAnsi="宋体" w:cs="Times New Roman"/>
                <w:b/>
                <w:bCs/>
                <w:sz w:val="21"/>
                <w:szCs w:val="21"/>
                <w:lang w:bidi="ar"/>
              </w:rPr>
              <w:t>年龄段</w:t>
            </w:r>
          </w:p>
        </w:tc>
        <w:tc>
          <w:tcPr>
            <w:tcW w:w="1418" w:type="dxa"/>
            <w:vAlign w:val="center"/>
          </w:tcPr>
          <w:p w14:paraId="05E0B186" w14:textId="77777777" w:rsidR="00D33EF8" w:rsidRPr="0006158E" w:rsidRDefault="003B67E7">
            <w:pPr>
              <w:pStyle w:val="Default"/>
              <w:jc w:val="center"/>
              <w:rPr>
                <w:rFonts w:ascii="宋体" w:eastAsia="宋体" w:hAnsi="宋体" w:cs="Times New Roman"/>
                <w:b/>
                <w:bCs/>
                <w:color w:val="auto"/>
                <w:sz w:val="21"/>
                <w:szCs w:val="21"/>
              </w:rPr>
            </w:pPr>
            <w:r w:rsidRPr="0006158E">
              <w:rPr>
                <w:rFonts w:ascii="宋体" w:eastAsia="宋体" w:hAnsi="宋体" w:cs="Times New Roman"/>
                <w:b/>
                <w:bCs/>
                <w:sz w:val="21"/>
                <w:szCs w:val="21"/>
                <w:lang w:bidi="ar"/>
              </w:rPr>
              <w:t>人数（人）</w:t>
            </w:r>
          </w:p>
        </w:tc>
        <w:tc>
          <w:tcPr>
            <w:tcW w:w="1418" w:type="dxa"/>
            <w:vAlign w:val="center"/>
          </w:tcPr>
          <w:p w14:paraId="18071130"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比例（</w:t>
            </w:r>
            <w:r w:rsidRPr="0006158E">
              <w:rPr>
                <w:rFonts w:ascii="宋体" w:eastAsia="宋体" w:hAnsi="宋体" w:cs="Times New Roman"/>
                <w:b/>
                <w:bCs/>
                <w:sz w:val="21"/>
                <w:szCs w:val="21"/>
                <w:lang w:bidi="ar"/>
              </w:rPr>
              <w:t>%</w:t>
            </w:r>
            <w:r w:rsidRPr="0006158E">
              <w:rPr>
                <w:rFonts w:ascii="宋体" w:eastAsia="宋体" w:hAnsi="宋体" w:cs="Times New Roman"/>
                <w:b/>
                <w:bCs/>
                <w:sz w:val="21"/>
                <w:szCs w:val="21"/>
                <w:lang w:bidi="ar"/>
              </w:rPr>
              <w:t>）</w:t>
            </w:r>
          </w:p>
        </w:tc>
        <w:tc>
          <w:tcPr>
            <w:tcW w:w="1418" w:type="dxa"/>
            <w:vAlign w:val="center"/>
          </w:tcPr>
          <w:p w14:paraId="622B180E"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高级（人）</w:t>
            </w:r>
          </w:p>
        </w:tc>
        <w:tc>
          <w:tcPr>
            <w:tcW w:w="1501" w:type="dxa"/>
            <w:vAlign w:val="center"/>
          </w:tcPr>
          <w:p w14:paraId="2A46C514"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副高级（人）</w:t>
            </w:r>
          </w:p>
        </w:tc>
        <w:tc>
          <w:tcPr>
            <w:tcW w:w="1338" w:type="dxa"/>
            <w:vAlign w:val="center"/>
          </w:tcPr>
          <w:p w14:paraId="78034AA2"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中级（人）</w:t>
            </w:r>
          </w:p>
        </w:tc>
      </w:tr>
      <w:tr w:rsidR="00D33EF8" w:rsidRPr="0006158E" w14:paraId="6FDAC4C6" w14:textId="77777777">
        <w:tc>
          <w:tcPr>
            <w:tcW w:w="1418" w:type="dxa"/>
          </w:tcPr>
          <w:p w14:paraId="5B781125"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≤35</w:t>
            </w:r>
          </w:p>
        </w:tc>
        <w:tc>
          <w:tcPr>
            <w:tcW w:w="1418" w:type="dxa"/>
          </w:tcPr>
          <w:p w14:paraId="283690B5"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5</w:t>
            </w:r>
          </w:p>
        </w:tc>
        <w:tc>
          <w:tcPr>
            <w:tcW w:w="1418" w:type="dxa"/>
          </w:tcPr>
          <w:p w14:paraId="505A488B"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11.11</w:t>
            </w:r>
          </w:p>
        </w:tc>
        <w:tc>
          <w:tcPr>
            <w:tcW w:w="1418" w:type="dxa"/>
          </w:tcPr>
          <w:p w14:paraId="329DDFB4"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0</w:t>
            </w:r>
          </w:p>
        </w:tc>
        <w:tc>
          <w:tcPr>
            <w:tcW w:w="1501" w:type="dxa"/>
          </w:tcPr>
          <w:p w14:paraId="6D9BC2BF"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0</w:t>
            </w:r>
          </w:p>
        </w:tc>
        <w:tc>
          <w:tcPr>
            <w:tcW w:w="1338" w:type="dxa"/>
          </w:tcPr>
          <w:p w14:paraId="0B8B08BC"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5</w:t>
            </w:r>
          </w:p>
        </w:tc>
      </w:tr>
      <w:tr w:rsidR="00D33EF8" w:rsidRPr="0006158E" w14:paraId="79E22B89" w14:textId="77777777">
        <w:tc>
          <w:tcPr>
            <w:tcW w:w="1418" w:type="dxa"/>
          </w:tcPr>
          <w:p w14:paraId="36BBCDC7"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36-45</w:t>
            </w:r>
          </w:p>
        </w:tc>
        <w:tc>
          <w:tcPr>
            <w:tcW w:w="1418" w:type="dxa"/>
          </w:tcPr>
          <w:p w14:paraId="5DD209DB"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18</w:t>
            </w:r>
          </w:p>
        </w:tc>
        <w:tc>
          <w:tcPr>
            <w:tcW w:w="1418" w:type="dxa"/>
          </w:tcPr>
          <w:p w14:paraId="5DD10A19"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40.00</w:t>
            </w:r>
          </w:p>
        </w:tc>
        <w:tc>
          <w:tcPr>
            <w:tcW w:w="1418" w:type="dxa"/>
          </w:tcPr>
          <w:p w14:paraId="377D3E5E"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w:t>
            </w:r>
          </w:p>
        </w:tc>
        <w:tc>
          <w:tcPr>
            <w:tcW w:w="1501" w:type="dxa"/>
          </w:tcPr>
          <w:p w14:paraId="5ACE7B75"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6</w:t>
            </w:r>
          </w:p>
        </w:tc>
        <w:tc>
          <w:tcPr>
            <w:tcW w:w="1338" w:type="dxa"/>
          </w:tcPr>
          <w:p w14:paraId="3E631324"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11</w:t>
            </w:r>
          </w:p>
        </w:tc>
      </w:tr>
      <w:tr w:rsidR="00D33EF8" w:rsidRPr="0006158E" w14:paraId="084F9232" w14:textId="77777777">
        <w:tc>
          <w:tcPr>
            <w:tcW w:w="1418" w:type="dxa"/>
          </w:tcPr>
          <w:p w14:paraId="74AD1057"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46-59</w:t>
            </w:r>
          </w:p>
        </w:tc>
        <w:tc>
          <w:tcPr>
            <w:tcW w:w="1418" w:type="dxa"/>
          </w:tcPr>
          <w:p w14:paraId="2E58D743"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22</w:t>
            </w:r>
          </w:p>
        </w:tc>
        <w:tc>
          <w:tcPr>
            <w:tcW w:w="1418" w:type="dxa"/>
          </w:tcPr>
          <w:p w14:paraId="2146F058"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48.89</w:t>
            </w:r>
          </w:p>
        </w:tc>
        <w:tc>
          <w:tcPr>
            <w:tcW w:w="1418" w:type="dxa"/>
          </w:tcPr>
          <w:p w14:paraId="397F32FD"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7</w:t>
            </w:r>
          </w:p>
        </w:tc>
        <w:tc>
          <w:tcPr>
            <w:tcW w:w="1501" w:type="dxa"/>
          </w:tcPr>
          <w:p w14:paraId="5FD3F7A3"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10</w:t>
            </w:r>
          </w:p>
        </w:tc>
        <w:tc>
          <w:tcPr>
            <w:tcW w:w="1338" w:type="dxa"/>
          </w:tcPr>
          <w:p w14:paraId="61D01F59"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5</w:t>
            </w:r>
          </w:p>
        </w:tc>
      </w:tr>
      <w:tr w:rsidR="00D33EF8" w:rsidRPr="0006158E" w14:paraId="18F9B18D" w14:textId="77777777">
        <w:tc>
          <w:tcPr>
            <w:tcW w:w="1418" w:type="dxa"/>
          </w:tcPr>
          <w:p w14:paraId="6FA83B1D"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合计</w:t>
            </w:r>
          </w:p>
        </w:tc>
        <w:tc>
          <w:tcPr>
            <w:tcW w:w="1418" w:type="dxa"/>
          </w:tcPr>
          <w:p w14:paraId="23F0B528"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45</w:t>
            </w:r>
          </w:p>
        </w:tc>
        <w:tc>
          <w:tcPr>
            <w:tcW w:w="1418" w:type="dxa"/>
          </w:tcPr>
          <w:p w14:paraId="64628F7A"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100</w:t>
            </w:r>
            <w:r w:rsidRPr="0006158E">
              <w:rPr>
                <w:rFonts w:ascii="宋体" w:eastAsia="宋体" w:hAnsi="宋体" w:cs="Times New Roman" w:hint="eastAsia"/>
                <w:sz w:val="21"/>
                <w:szCs w:val="21"/>
                <w:lang w:bidi="ar"/>
              </w:rPr>
              <w:t>.00</w:t>
            </w:r>
          </w:p>
        </w:tc>
        <w:tc>
          <w:tcPr>
            <w:tcW w:w="1418" w:type="dxa"/>
          </w:tcPr>
          <w:p w14:paraId="34273441"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8</w:t>
            </w:r>
          </w:p>
        </w:tc>
        <w:tc>
          <w:tcPr>
            <w:tcW w:w="1501" w:type="dxa"/>
          </w:tcPr>
          <w:p w14:paraId="5F0C81E5"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16</w:t>
            </w:r>
          </w:p>
        </w:tc>
        <w:tc>
          <w:tcPr>
            <w:tcW w:w="1338" w:type="dxa"/>
          </w:tcPr>
          <w:p w14:paraId="7DE017B0"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21</w:t>
            </w:r>
          </w:p>
        </w:tc>
      </w:tr>
    </w:tbl>
    <w:p w14:paraId="3E1D3661" w14:textId="77777777" w:rsidR="00D33EF8" w:rsidRPr="0006158E" w:rsidRDefault="003B67E7">
      <w:pPr>
        <w:widowControl/>
        <w:spacing w:beforeLines="50" w:before="156"/>
        <w:jc w:val="center"/>
        <w:rPr>
          <w:rFonts w:ascii="宋体" w:hAnsi="宋体" w:cs="Times New Roman"/>
          <w:sz w:val="21"/>
          <w:szCs w:val="21"/>
        </w:rPr>
      </w:pPr>
      <w:r w:rsidRPr="0006158E">
        <w:rPr>
          <w:rFonts w:ascii="宋体" w:hAnsi="宋体" w:cs="Times New Roman"/>
          <w:color w:val="000000"/>
          <w:sz w:val="21"/>
          <w:szCs w:val="21"/>
          <w:lang w:bidi="ar"/>
        </w:rPr>
        <w:t>表</w:t>
      </w:r>
      <w:r w:rsidRPr="0006158E">
        <w:rPr>
          <w:rFonts w:ascii="宋体" w:hAnsi="宋体" w:cs="Times New Roman" w:hint="eastAsia"/>
          <w:color w:val="000000"/>
          <w:sz w:val="21"/>
          <w:szCs w:val="21"/>
          <w:lang w:bidi="ar"/>
        </w:rPr>
        <w:t>2</w:t>
      </w:r>
      <w:r w:rsidRPr="0006158E">
        <w:rPr>
          <w:rFonts w:ascii="宋体" w:hAnsi="宋体" w:cs="Times New Roman" w:hint="eastAsia"/>
          <w:color w:val="000000"/>
          <w:sz w:val="21"/>
          <w:szCs w:val="21"/>
          <w:lang w:bidi="ar"/>
        </w:rPr>
        <w:t>本</w:t>
      </w:r>
      <w:r w:rsidRPr="0006158E">
        <w:rPr>
          <w:rFonts w:ascii="宋体" w:hAnsi="宋体" w:cs="Times New Roman"/>
          <w:color w:val="000000"/>
          <w:sz w:val="21"/>
          <w:szCs w:val="21"/>
          <w:lang w:bidi="ar"/>
        </w:rPr>
        <w:t>学位点专任教师职称构成一览表</w:t>
      </w:r>
    </w:p>
    <w:tbl>
      <w:tblPr>
        <w:tblStyle w:val="a7"/>
        <w:tblW w:w="0" w:type="auto"/>
        <w:tblLook w:val="04A0" w:firstRow="1" w:lastRow="0" w:firstColumn="1" w:lastColumn="0" w:noHBand="0" w:noVBand="1"/>
      </w:tblPr>
      <w:tblGrid>
        <w:gridCol w:w="2550"/>
        <w:gridCol w:w="1435"/>
        <w:gridCol w:w="1435"/>
        <w:gridCol w:w="1435"/>
        <w:gridCol w:w="1441"/>
      </w:tblGrid>
      <w:tr w:rsidR="00D33EF8" w:rsidRPr="0006158E" w14:paraId="7EDBE9C9" w14:textId="77777777">
        <w:tc>
          <w:tcPr>
            <w:tcW w:w="2637" w:type="dxa"/>
          </w:tcPr>
          <w:p w14:paraId="01BBFE02" w14:textId="77777777" w:rsidR="00D33EF8" w:rsidRPr="0006158E" w:rsidRDefault="00D33EF8">
            <w:pPr>
              <w:pStyle w:val="Default"/>
              <w:jc w:val="center"/>
              <w:rPr>
                <w:rFonts w:ascii="宋体" w:eastAsia="宋体" w:hAnsi="宋体" w:cs="Times New Roman"/>
                <w:b/>
                <w:bCs/>
                <w:color w:val="auto"/>
                <w:sz w:val="21"/>
                <w:szCs w:val="21"/>
              </w:rPr>
            </w:pPr>
          </w:p>
        </w:tc>
        <w:tc>
          <w:tcPr>
            <w:tcW w:w="1471" w:type="dxa"/>
          </w:tcPr>
          <w:p w14:paraId="240C533E"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高级</w:t>
            </w:r>
          </w:p>
        </w:tc>
        <w:tc>
          <w:tcPr>
            <w:tcW w:w="1471" w:type="dxa"/>
          </w:tcPr>
          <w:p w14:paraId="07E23411"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副高级</w:t>
            </w:r>
          </w:p>
        </w:tc>
        <w:tc>
          <w:tcPr>
            <w:tcW w:w="1471" w:type="dxa"/>
          </w:tcPr>
          <w:p w14:paraId="0BF41FAF"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中级</w:t>
            </w:r>
          </w:p>
        </w:tc>
        <w:tc>
          <w:tcPr>
            <w:tcW w:w="1472" w:type="dxa"/>
          </w:tcPr>
          <w:p w14:paraId="2F703632" w14:textId="77777777" w:rsidR="00D33EF8" w:rsidRPr="0006158E" w:rsidRDefault="003B67E7">
            <w:pPr>
              <w:pStyle w:val="Default"/>
              <w:jc w:val="center"/>
              <w:rPr>
                <w:rFonts w:ascii="宋体" w:eastAsia="宋体" w:hAnsi="宋体" w:cs="Times New Roman"/>
                <w:b/>
                <w:bCs/>
                <w:sz w:val="21"/>
                <w:szCs w:val="21"/>
                <w:lang w:bidi="ar"/>
              </w:rPr>
            </w:pPr>
            <w:r w:rsidRPr="0006158E">
              <w:rPr>
                <w:rFonts w:ascii="宋体" w:eastAsia="宋体" w:hAnsi="宋体" w:cs="Times New Roman"/>
                <w:b/>
                <w:bCs/>
                <w:sz w:val="21"/>
                <w:szCs w:val="21"/>
                <w:lang w:bidi="ar"/>
              </w:rPr>
              <w:t>合计</w:t>
            </w:r>
          </w:p>
        </w:tc>
      </w:tr>
      <w:tr w:rsidR="00D33EF8" w:rsidRPr="0006158E" w14:paraId="0A1E5C8A" w14:textId="77777777">
        <w:trPr>
          <w:trHeight w:val="337"/>
        </w:trPr>
        <w:tc>
          <w:tcPr>
            <w:tcW w:w="2637" w:type="dxa"/>
            <w:vAlign w:val="center"/>
          </w:tcPr>
          <w:p w14:paraId="55A4CB1D" w14:textId="77777777" w:rsidR="00D33EF8" w:rsidRPr="0006158E" w:rsidRDefault="003B67E7">
            <w:pPr>
              <w:pStyle w:val="Default"/>
              <w:jc w:val="center"/>
              <w:rPr>
                <w:rFonts w:ascii="宋体" w:eastAsia="宋体" w:hAnsi="宋体" w:cs="Times New Roman"/>
                <w:color w:val="auto"/>
                <w:sz w:val="21"/>
                <w:szCs w:val="21"/>
              </w:rPr>
            </w:pPr>
            <w:r w:rsidRPr="0006158E">
              <w:rPr>
                <w:rFonts w:ascii="宋体" w:eastAsia="宋体" w:hAnsi="宋体" w:cs="Times New Roman"/>
                <w:sz w:val="21"/>
                <w:szCs w:val="21"/>
                <w:lang w:bidi="ar"/>
              </w:rPr>
              <w:t>人数（人）</w:t>
            </w:r>
          </w:p>
        </w:tc>
        <w:tc>
          <w:tcPr>
            <w:tcW w:w="1471" w:type="dxa"/>
            <w:vAlign w:val="center"/>
          </w:tcPr>
          <w:p w14:paraId="2E11048F"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8</w:t>
            </w:r>
          </w:p>
        </w:tc>
        <w:tc>
          <w:tcPr>
            <w:tcW w:w="1471" w:type="dxa"/>
            <w:vAlign w:val="center"/>
          </w:tcPr>
          <w:p w14:paraId="5DE8A070"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16</w:t>
            </w:r>
          </w:p>
        </w:tc>
        <w:tc>
          <w:tcPr>
            <w:tcW w:w="1471" w:type="dxa"/>
            <w:vAlign w:val="center"/>
          </w:tcPr>
          <w:p w14:paraId="405FD542"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21</w:t>
            </w:r>
          </w:p>
        </w:tc>
        <w:tc>
          <w:tcPr>
            <w:tcW w:w="1472" w:type="dxa"/>
            <w:vAlign w:val="center"/>
          </w:tcPr>
          <w:p w14:paraId="37852662"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45</w:t>
            </w:r>
          </w:p>
        </w:tc>
      </w:tr>
      <w:tr w:rsidR="00D33EF8" w:rsidRPr="0006158E" w14:paraId="7B104CA7" w14:textId="77777777">
        <w:trPr>
          <w:trHeight w:val="347"/>
        </w:trPr>
        <w:tc>
          <w:tcPr>
            <w:tcW w:w="2637" w:type="dxa"/>
            <w:vAlign w:val="center"/>
          </w:tcPr>
          <w:p w14:paraId="49D0D2EE" w14:textId="77777777" w:rsidR="00D33EF8" w:rsidRPr="0006158E" w:rsidRDefault="003B67E7">
            <w:pPr>
              <w:pStyle w:val="Default"/>
              <w:jc w:val="center"/>
              <w:rPr>
                <w:rFonts w:ascii="宋体" w:eastAsia="宋体" w:hAnsi="宋体" w:cs="Times New Roman"/>
                <w:color w:val="auto"/>
                <w:sz w:val="21"/>
                <w:szCs w:val="21"/>
              </w:rPr>
            </w:pPr>
            <w:r w:rsidRPr="0006158E">
              <w:rPr>
                <w:rFonts w:ascii="宋体" w:eastAsia="宋体" w:hAnsi="宋体" w:cs="Times New Roman"/>
                <w:sz w:val="21"/>
                <w:szCs w:val="21"/>
                <w:lang w:bidi="ar"/>
              </w:rPr>
              <w:t>比例（</w:t>
            </w:r>
            <w:r w:rsidRPr="0006158E">
              <w:rPr>
                <w:rFonts w:ascii="宋体" w:eastAsia="宋体" w:hAnsi="宋体" w:cs="Times New Roman"/>
                <w:sz w:val="21"/>
                <w:szCs w:val="21"/>
                <w:lang w:bidi="ar"/>
              </w:rPr>
              <w:t>%</w:t>
            </w:r>
            <w:r w:rsidRPr="0006158E">
              <w:rPr>
                <w:rFonts w:ascii="宋体" w:eastAsia="宋体" w:hAnsi="宋体" w:cs="Times New Roman"/>
                <w:sz w:val="21"/>
                <w:szCs w:val="21"/>
                <w:lang w:bidi="ar"/>
              </w:rPr>
              <w:t>）</w:t>
            </w:r>
          </w:p>
        </w:tc>
        <w:tc>
          <w:tcPr>
            <w:tcW w:w="1471" w:type="dxa"/>
            <w:vAlign w:val="center"/>
          </w:tcPr>
          <w:p w14:paraId="6B38C229"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17.78</w:t>
            </w:r>
          </w:p>
        </w:tc>
        <w:tc>
          <w:tcPr>
            <w:tcW w:w="1471" w:type="dxa"/>
            <w:vAlign w:val="center"/>
          </w:tcPr>
          <w:p w14:paraId="7B7D8698"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35.56</w:t>
            </w:r>
          </w:p>
        </w:tc>
        <w:tc>
          <w:tcPr>
            <w:tcW w:w="1471" w:type="dxa"/>
            <w:vAlign w:val="center"/>
          </w:tcPr>
          <w:p w14:paraId="19A15E0C"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46.67</w:t>
            </w:r>
          </w:p>
        </w:tc>
        <w:tc>
          <w:tcPr>
            <w:tcW w:w="1472" w:type="dxa"/>
            <w:vAlign w:val="center"/>
          </w:tcPr>
          <w:p w14:paraId="5EA1AA54"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100</w:t>
            </w:r>
            <w:r w:rsidRPr="0006158E">
              <w:rPr>
                <w:rFonts w:ascii="宋体" w:eastAsia="宋体" w:hAnsi="宋体" w:cs="Times New Roman" w:hint="eastAsia"/>
                <w:sz w:val="21"/>
                <w:szCs w:val="21"/>
                <w:lang w:bidi="ar"/>
              </w:rPr>
              <w:t>.00</w:t>
            </w:r>
          </w:p>
        </w:tc>
      </w:tr>
      <w:tr w:rsidR="00D33EF8" w:rsidRPr="0006158E" w14:paraId="4EAD30B7" w14:textId="77777777">
        <w:trPr>
          <w:trHeight w:val="325"/>
        </w:trPr>
        <w:tc>
          <w:tcPr>
            <w:tcW w:w="2637" w:type="dxa"/>
            <w:vAlign w:val="center"/>
          </w:tcPr>
          <w:p w14:paraId="3B599156"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具有行业经历人数（人）</w:t>
            </w:r>
          </w:p>
        </w:tc>
        <w:tc>
          <w:tcPr>
            <w:tcW w:w="1471" w:type="dxa"/>
            <w:vAlign w:val="center"/>
          </w:tcPr>
          <w:p w14:paraId="76297505"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5</w:t>
            </w:r>
          </w:p>
        </w:tc>
        <w:tc>
          <w:tcPr>
            <w:tcW w:w="1471" w:type="dxa"/>
            <w:vAlign w:val="center"/>
          </w:tcPr>
          <w:p w14:paraId="2F7B266C"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12</w:t>
            </w:r>
          </w:p>
        </w:tc>
        <w:tc>
          <w:tcPr>
            <w:tcW w:w="1471" w:type="dxa"/>
            <w:vAlign w:val="center"/>
          </w:tcPr>
          <w:p w14:paraId="227DBC67"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10</w:t>
            </w:r>
          </w:p>
        </w:tc>
        <w:tc>
          <w:tcPr>
            <w:tcW w:w="1472" w:type="dxa"/>
            <w:vAlign w:val="center"/>
          </w:tcPr>
          <w:p w14:paraId="4CB1739D"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27</w:t>
            </w:r>
          </w:p>
        </w:tc>
      </w:tr>
      <w:tr w:rsidR="00D33EF8" w:rsidRPr="0006158E" w14:paraId="7E127F58" w14:textId="77777777">
        <w:trPr>
          <w:trHeight w:val="335"/>
        </w:trPr>
        <w:tc>
          <w:tcPr>
            <w:tcW w:w="2637" w:type="dxa"/>
            <w:vAlign w:val="center"/>
          </w:tcPr>
          <w:p w14:paraId="6532BEC9"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具有行业经历比例（</w:t>
            </w:r>
            <w:r w:rsidRPr="0006158E">
              <w:rPr>
                <w:rFonts w:ascii="宋体" w:eastAsia="宋体" w:hAnsi="宋体" w:cs="Times New Roman"/>
                <w:sz w:val="21"/>
                <w:szCs w:val="21"/>
                <w:lang w:bidi="ar"/>
              </w:rPr>
              <w:t>%</w:t>
            </w:r>
            <w:r w:rsidRPr="0006158E">
              <w:rPr>
                <w:rFonts w:ascii="宋体" w:eastAsia="宋体" w:hAnsi="宋体" w:cs="Times New Roman"/>
                <w:sz w:val="21"/>
                <w:szCs w:val="21"/>
                <w:lang w:bidi="ar"/>
              </w:rPr>
              <w:t>）</w:t>
            </w:r>
          </w:p>
        </w:tc>
        <w:tc>
          <w:tcPr>
            <w:tcW w:w="1471" w:type="dxa"/>
            <w:vAlign w:val="center"/>
          </w:tcPr>
          <w:p w14:paraId="66CE0AD8"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11.11</w:t>
            </w:r>
          </w:p>
        </w:tc>
        <w:tc>
          <w:tcPr>
            <w:tcW w:w="1471" w:type="dxa"/>
            <w:vAlign w:val="center"/>
          </w:tcPr>
          <w:p w14:paraId="0982FAE8"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26.67</w:t>
            </w:r>
          </w:p>
        </w:tc>
        <w:tc>
          <w:tcPr>
            <w:tcW w:w="1471" w:type="dxa"/>
            <w:vAlign w:val="center"/>
          </w:tcPr>
          <w:p w14:paraId="00E0421E"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22.22</w:t>
            </w:r>
          </w:p>
        </w:tc>
        <w:tc>
          <w:tcPr>
            <w:tcW w:w="1472" w:type="dxa"/>
            <w:vAlign w:val="center"/>
          </w:tcPr>
          <w:p w14:paraId="36553657" w14:textId="77777777" w:rsidR="00D33EF8" w:rsidRPr="0006158E" w:rsidRDefault="003B67E7">
            <w:pPr>
              <w:pStyle w:val="Default"/>
              <w:jc w:val="center"/>
              <w:rPr>
                <w:rFonts w:ascii="宋体" w:eastAsia="宋体" w:hAnsi="宋体" w:cs="Times New Roman"/>
                <w:sz w:val="21"/>
                <w:szCs w:val="21"/>
                <w:lang w:bidi="ar"/>
              </w:rPr>
            </w:pPr>
            <w:r w:rsidRPr="0006158E">
              <w:rPr>
                <w:rFonts w:ascii="宋体" w:eastAsia="宋体" w:hAnsi="宋体" w:cs="Times New Roman"/>
                <w:sz w:val="21"/>
                <w:szCs w:val="21"/>
                <w:lang w:bidi="ar"/>
              </w:rPr>
              <w:t>60.00</w:t>
            </w:r>
          </w:p>
        </w:tc>
      </w:tr>
    </w:tbl>
    <w:p w14:paraId="26AC532C" w14:textId="1CB75B0C" w:rsidR="00D33EF8" w:rsidRPr="00D40127" w:rsidRDefault="003B67E7">
      <w:pPr>
        <w:spacing w:beforeLines="50" w:before="156"/>
        <w:ind w:firstLine="567"/>
        <w:rPr>
          <w:rFonts w:ascii="宋体" w:hAnsi="宋体"/>
        </w:rPr>
      </w:pPr>
      <w:r w:rsidRPr="00D40127">
        <w:rPr>
          <w:rFonts w:ascii="宋体" w:hAnsi="宋体" w:cs="Times New Roman"/>
        </w:rPr>
        <w:t>本学位点硕士研究生导师共计</w:t>
      </w:r>
      <w:r w:rsidRPr="00D40127">
        <w:rPr>
          <w:rFonts w:ascii="宋体" w:hAnsi="宋体" w:cs="Times New Roman"/>
        </w:rPr>
        <w:t>53</w:t>
      </w:r>
      <w:r w:rsidRPr="00D40127">
        <w:rPr>
          <w:rFonts w:ascii="宋体" w:hAnsi="宋体" w:cs="Times New Roman"/>
        </w:rPr>
        <w:t>人</w:t>
      </w:r>
      <w:r w:rsidR="00112BA1" w:rsidRPr="00D40127">
        <w:rPr>
          <w:rFonts w:ascii="宋体" w:hAnsi="宋体" w:cs="Times New Roman" w:hint="eastAsia"/>
        </w:rPr>
        <w:t>，</w:t>
      </w:r>
      <w:r w:rsidRPr="00D40127">
        <w:rPr>
          <w:rFonts w:ascii="宋体" w:hAnsi="宋体" w:cs="Times New Roman"/>
        </w:rPr>
        <w:t>其中校内导师</w:t>
      </w:r>
      <w:r w:rsidRPr="00D40127">
        <w:rPr>
          <w:rFonts w:ascii="宋体" w:hAnsi="宋体" w:cs="Times New Roman"/>
        </w:rPr>
        <w:t>29</w:t>
      </w:r>
      <w:r w:rsidRPr="00D40127">
        <w:rPr>
          <w:rFonts w:ascii="宋体" w:hAnsi="宋体" w:cs="Times New Roman"/>
        </w:rPr>
        <w:t>人</w:t>
      </w:r>
      <w:r w:rsidR="00112BA1" w:rsidRPr="00D40127">
        <w:rPr>
          <w:rFonts w:ascii="宋体" w:hAnsi="宋体" w:cs="Times New Roman" w:hint="eastAsia"/>
        </w:rPr>
        <w:t>。</w:t>
      </w:r>
      <w:r w:rsidR="00112BA1" w:rsidRPr="00D40127">
        <w:rPr>
          <w:rFonts w:ascii="宋体" w:hAnsi="宋体" w:cs="Times New Roman"/>
        </w:rPr>
        <w:t>校内</w:t>
      </w:r>
      <w:r w:rsidRPr="00D40127">
        <w:rPr>
          <w:rFonts w:ascii="宋体" w:hAnsi="宋体" w:cs="Times New Roman"/>
        </w:rPr>
        <w:t>导师学历结构合理，其中博士学历占</w:t>
      </w:r>
      <w:r w:rsidRPr="00D40127">
        <w:rPr>
          <w:rFonts w:ascii="宋体" w:hAnsi="宋体" w:cs="Times New Roman"/>
        </w:rPr>
        <w:t>81.5%</w:t>
      </w:r>
      <w:r w:rsidRPr="00D40127">
        <w:rPr>
          <w:rFonts w:ascii="宋体" w:hAnsi="宋体" w:cs="Times New Roman"/>
        </w:rPr>
        <w:t>。校内导师队伍具有良好的学缘结构，毕业于天津大学、华中科技大学、大连理工大学、日本北九州市立大学等国内外著名高校。校内导师年龄结构及职称分布分别如图</w:t>
      </w:r>
      <w:r w:rsidRPr="00D40127">
        <w:rPr>
          <w:rFonts w:ascii="宋体" w:hAnsi="宋体" w:cs="Times New Roman"/>
        </w:rPr>
        <w:t>1</w:t>
      </w:r>
      <w:r w:rsidRPr="00D40127">
        <w:rPr>
          <w:rFonts w:ascii="宋体" w:hAnsi="宋体" w:cs="Times New Roman"/>
        </w:rPr>
        <w:t>、图</w:t>
      </w:r>
      <w:r w:rsidRPr="00D40127">
        <w:rPr>
          <w:rFonts w:ascii="宋体" w:hAnsi="宋体" w:cs="Times New Roman"/>
        </w:rPr>
        <w:t>2</w:t>
      </w:r>
      <w:r w:rsidRPr="00D40127">
        <w:rPr>
          <w:rFonts w:ascii="宋体" w:hAnsi="宋体" w:cs="Times New Roman"/>
        </w:rPr>
        <w:t>所</w:t>
      </w:r>
      <w:r w:rsidRPr="00D40127">
        <w:rPr>
          <w:rFonts w:ascii="宋体" w:hAnsi="宋体" w:hint="eastAsia"/>
        </w:rPr>
        <w:t>示。</w:t>
      </w:r>
    </w:p>
    <w:p w14:paraId="3BFF90BB" w14:textId="5CA6B5C4" w:rsidR="00D33EF8" w:rsidRDefault="00B25911">
      <w:pPr>
        <w:spacing w:beforeLines="50" w:before="156"/>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333F9E5C" wp14:editId="6B52A592">
            <wp:extent cx="2519680" cy="1710055"/>
            <wp:effectExtent l="0" t="0" r="0" b="0"/>
            <wp:docPr id="1"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hAnsi="Times New Roman" w:cs="Times New Roman" w:hint="eastAsia"/>
          <w:noProof/>
        </w:rPr>
        <w:drawing>
          <wp:inline distT="0" distB="0" distL="0" distR="0" wp14:anchorId="2AAB10C1" wp14:editId="73294FD6">
            <wp:extent cx="2016760" cy="1764030"/>
            <wp:effectExtent l="0" t="0" r="0" b="0"/>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660364A" w14:textId="71D7CA51" w:rsidR="00D33EF8" w:rsidRPr="0006158E" w:rsidRDefault="003B67E7">
      <w:pPr>
        <w:pStyle w:val="Default"/>
        <w:ind w:firstLineChars="200" w:firstLine="420"/>
        <w:jc w:val="center"/>
        <w:rPr>
          <w:rFonts w:ascii="宋体" w:eastAsia="宋体" w:hAnsi="宋体" w:cs="宋体"/>
          <w:sz w:val="21"/>
          <w:szCs w:val="21"/>
          <w:lang w:bidi="ar"/>
        </w:rPr>
      </w:pPr>
      <w:r w:rsidRPr="0006158E">
        <w:rPr>
          <w:rFonts w:ascii="Times New Roman" w:eastAsia="宋体" w:hAnsi="Times New Roman" w:cs="Times New Roman"/>
          <w:sz w:val="21"/>
          <w:szCs w:val="21"/>
          <w:lang w:bidi="ar"/>
        </w:rPr>
        <w:t>图</w:t>
      </w:r>
      <w:r w:rsidRPr="0006158E">
        <w:rPr>
          <w:rFonts w:ascii="Times New Roman" w:eastAsia="宋体" w:hAnsi="Times New Roman" w:cs="Times New Roman"/>
          <w:sz w:val="21"/>
          <w:szCs w:val="21"/>
          <w:lang w:bidi="ar"/>
        </w:rPr>
        <w:t>1</w:t>
      </w:r>
      <w:r w:rsidRPr="0006158E">
        <w:rPr>
          <w:rFonts w:ascii="Times New Roman" w:eastAsia="宋体" w:hAnsi="Times New Roman" w:cs="Times New Roman"/>
          <w:sz w:val="21"/>
          <w:szCs w:val="21"/>
          <w:lang w:bidi="ar"/>
        </w:rPr>
        <w:t>校内导师年龄结构</w:t>
      </w:r>
      <w:r w:rsidR="003F6431" w:rsidRPr="0006158E">
        <w:rPr>
          <w:rFonts w:ascii="Times New Roman" w:eastAsia="宋体" w:hAnsi="Times New Roman" w:cs="Times New Roman" w:hint="eastAsia"/>
          <w:sz w:val="21"/>
          <w:szCs w:val="21"/>
          <w:lang w:bidi="ar"/>
        </w:rPr>
        <w:t xml:space="preserve">            </w:t>
      </w:r>
      <w:r w:rsidRPr="0006158E">
        <w:rPr>
          <w:rFonts w:ascii="Times New Roman" w:eastAsia="宋体" w:hAnsi="Times New Roman" w:cs="Times New Roman"/>
          <w:sz w:val="21"/>
          <w:szCs w:val="21"/>
          <w:lang w:bidi="ar"/>
        </w:rPr>
        <w:t>图</w:t>
      </w:r>
      <w:r w:rsidRPr="0006158E">
        <w:rPr>
          <w:rFonts w:ascii="Times New Roman" w:eastAsia="宋体" w:hAnsi="Times New Roman" w:cs="Times New Roman"/>
          <w:sz w:val="21"/>
          <w:szCs w:val="21"/>
          <w:lang w:bidi="ar"/>
        </w:rPr>
        <w:t>2</w:t>
      </w:r>
      <w:r w:rsidRPr="0006158E">
        <w:rPr>
          <w:rFonts w:ascii="Times New Roman" w:eastAsia="宋体" w:hAnsi="Times New Roman" w:cs="Times New Roman"/>
          <w:sz w:val="21"/>
          <w:szCs w:val="21"/>
          <w:lang w:bidi="ar"/>
        </w:rPr>
        <w:t>校内导师职称结构</w:t>
      </w:r>
    </w:p>
    <w:p w14:paraId="440FA55A" w14:textId="77777777" w:rsidR="00D33EF8" w:rsidRDefault="00D33EF8">
      <w:pPr>
        <w:pStyle w:val="Default"/>
        <w:ind w:firstLineChars="200" w:firstLine="442"/>
        <w:jc w:val="center"/>
        <w:rPr>
          <w:rFonts w:ascii="宋体" w:eastAsia="宋体" w:hAnsi="宋体" w:cs="宋体"/>
          <w:b/>
          <w:bCs/>
          <w:sz w:val="22"/>
          <w:szCs w:val="22"/>
          <w:lang w:bidi="ar"/>
        </w:rPr>
      </w:pPr>
    </w:p>
    <w:p w14:paraId="274739D3" w14:textId="70B9474D" w:rsidR="00D33EF8" w:rsidRPr="00D40127" w:rsidRDefault="003B67E7">
      <w:pPr>
        <w:autoSpaceDE w:val="0"/>
        <w:autoSpaceDN w:val="0"/>
        <w:spacing w:line="360" w:lineRule="auto"/>
        <w:ind w:firstLineChars="200" w:firstLine="560"/>
        <w:rPr>
          <w:rFonts w:ascii="宋体" w:hAnsi="宋体" w:cs="Times New Roman"/>
        </w:rPr>
      </w:pPr>
      <w:r w:rsidRPr="00D40127">
        <w:rPr>
          <w:rFonts w:ascii="宋体" w:hAnsi="宋体" w:cs="Times New Roman"/>
        </w:rPr>
        <w:t>本学位点另有外聘导师</w:t>
      </w:r>
      <w:r w:rsidRPr="00D40127">
        <w:rPr>
          <w:rFonts w:ascii="宋体" w:hAnsi="宋体" w:cs="Times New Roman"/>
        </w:rPr>
        <w:t>24</w:t>
      </w:r>
      <w:r w:rsidRPr="00D40127">
        <w:rPr>
          <w:rFonts w:ascii="宋体" w:hAnsi="宋体" w:cs="Times New Roman"/>
        </w:rPr>
        <w:t>人，其中包括外籍导师</w:t>
      </w:r>
      <w:r w:rsidRPr="00D40127">
        <w:rPr>
          <w:rFonts w:ascii="宋体" w:hAnsi="宋体" w:cs="Times New Roman"/>
        </w:rPr>
        <w:t>6</w:t>
      </w:r>
      <w:r w:rsidRPr="00D40127">
        <w:rPr>
          <w:rFonts w:ascii="宋体" w:hAnsi="宋体" w:cs="Times New Roman"/>
        </w:rPr>
        <w:t>人，专业背景均为建筑学及其相关专业。外籍导师均就职于波兰克拉科夫工业大学，学校具备建筑与城市规划等学科博士学位授予权，建筑与城市规划专业在波兰排名第</w:t>
      </w:r>
      <w:r w:rsidRPr="00D40127">
        <w:rPr>
          <w:rFonts w:ascii="宋体" w:hAnsi="宋体" w:cs="Times New Roman"/>
        </w:rPr>
        <w:t>2</w:t>
      </w:r>
      <w:r w:rsidRPr="00D40127">
        <w:rPr>
          <w:rFonts w:ascii="宋体" w:hAnsi="宋体" w:cs="Times New Roman"/>
        </w:rPr>
        <w:t>位，并获欧盟委员会和英国皇家建筑师协</w:t>
      </w:r>
      <w:r w:rsidRPr="00D40127">
        <w:rPr>
          <w:rFonts w:ascii="宋体" w:hAnsi="宋体" w:cs="Times New Roman"/>
        </w:rPr>
        <w:t>会（</w:t>
      </w:r>
      <w:r w:rsidRPr="00D40127">
        <w:rPr>
          <w:rFonts w:ascii="宋体" w:hAnsi="宋体" w:cs="Times New Roman"/>
        </w:rPr>
        <w:t>RIBA</w:t>
      </w:r>
      <w:r w:rsidRPr="00D40127">
        <w:rPr>
          <w:rFonts w:ascii="宋体" w:hAnsi="宋体" w:cs="Times New Roman"/>
        </w:rPr>
        <w:t>）认证</w:t>
      </w:r>
      <w:r w:rsidRPr="00D40127">
        <w:rPr>
          <w:rFonts w:ascii="宋体" w:hAnsi="宋体" w:cs="Times New Roman" w:hint="eastAsia"/>
        </w:rPr>
        <w:t>。</w:t>
      </w:r>
      <w:r w:rsidRPr="00D40127">
        <w:rPr>
          <w:rFonts w:ascii="宋体" w:hAnsi="宋体" w:cs="Times New Roman"/>
        </w:rPr>
        <w:t>除外籍导师外，</w:t>
      </w:r>
      <w:r w:rsidRPr="00D40127">
        <w:rPr>
          <w:rFonts w:ascii="宋体" w:hAnsi="宋体" w:cs="Times New Roman" w:hint="eastAsia"/>
        </w:rPr>
        <w:t>其余外聘导师</w:t>
      </w:r>
      <w:r w:rsidRPr="00D40127">
        <w:rPr>
          <w:rFonts w:ascii="宋体" w:hAnsi="宋体" w:cs="Times New Roman"/>
        </w:rPr>
        <w:t>多就职于甲级设计单位，包括大型国有设计企业首席建筑师、院长、著名民营设计公司总建筑师等，大多为正高级职称，一级注册建筑师，主持设计的建筑项目多次获得国家或天津市优秀设计奖。</w:t>
      </w:r>
    </w:p>
    <w:p w14:paraId="72821C1B" w14:textId="77777777" w:rsidR="00D33EF8" w:rsidRDefault="003B67E7">
      <w:pPr>
        <w:pStyle w:val="3"/>
      </w:pPr>
      <w:r>
        <w:rPr>
          <w:rFonts w:hint="eastAsia"/>
        </w:rPr>
        <w:t>2</w:t>
      </w:r>
      <w:r>
        <w:t>.3</w:t>
      </w:r>
      <w:r>
        <w:t>科学研究</w:t>
      </w:r>
    </w:p>
    <w:p w14:paraId="047D2A74" w14:textId="77777777" w:rsidR="00D33EF8" w:rsidRDefault="003B67E7">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本学位点</w:t>
      </w: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年新增</w:t>
      </w:r>
      <w:r>
        <w:rPr>
          <w:rFonts w:ascii="宋体" w:eastAsia="宋体" w:hAnsi="宋体" w:cs="宋体" w:hint="eastAsia"/>
          <w:color w:val="auto"/>
          <w:sz w:val="28"/>
          <w:szCs w:val="28"/>
        </w:rPr>
        <w:t>1</w:t>
      </w:r>
      <w:r>
        <w:rPr>
          <w:rFonts w:ascii="宋体" w:eastAsia="宋体" w:hAnsi="宋体" w:cs="宋体" w:hint="eastAsia"/>
          <w:color w:val="auto"/>
          <w:sz w:val="28"/>
          <w:szCs w:val="28"/>
        </w:rPr>
        <w:t>个省部级平台，目前拥有“天津市绿色住区建设技术工程中心”、“天津绿色建筑协同创新中心”、“天津市绿色建筑产业技术创新战略联盟”、“人居环境实验室示范教学中心”及“天津城建大学建筑减碳科普基地”</w:t>
      </w:r>
      <w:r>
        <w:rPr>
          <w:rFonts w:ascii="宋体" w:eastAsia="宋体" w:hAnsi="宋体" w:cs="宋体"/>
          <w:color w:val="auto"/>
          <w:sz w:val="28"/>
          <w:szCs w:val="28"/>
        </w:rPr>
        <w:t>5</w:t>
      </w:r>
      <w:r>
        <w:rPr>
          <w:rFonts w:ascii="宋体" w:eastAsia="宋体" w:hAnsi="宋体" w:cs="宋体" w:hint="eastAsia"/>
          <w:color w:val="auto"/>
          <w:sz w:val="28"/>
          <w:szCs w:val="28"/>
        </w:rPr>
        <w:t>个省部级科研科普平台，为学生培养提供了充分的课程教学、论文选题和实践资源，提高了研究生的实践能力和创新能力。</w:t>
      </w:r>
    </w:p>
    <w:p w14:paraId="50D25452" w14:textId="77777777" w:rsidR="00D33EF8" w:rsidRDefault="003B67E7">
      <w:pPr>
        <w:pStyle w:val="Default"/>
        <w:ind w:firstLineChars="200" w:firstLine="560"/>
        <w:rPr>
          <w:rFonts w:ascii="宋体" w:hAnsi="宋体"/>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年教师在绿色建筑设计与评价、建筑遗产保护与可持续利</w:t>
      </w:r>
      <w:r>
        <w:rPr>
          <w:rFonts w:ascii="宋体" w:eastAsia="宋体" w:hAnsi="宋体" w:cs="宋体" w:hint="eastAsia"/>
          <w:color w:val="auto"/>
          <w:sz w:val="28"/>
          <w:szCs w:val="28"/>
        </w:rPr>
        <w:lastRenderedPageBreak/>
        <w:t>用、地域文化与公共空间设计创新三个学科方向上发表各类期刊会议论文共计近</w:t>
      </w:r>
      <w:r>
        <w:rPr>
          <w:rFonts w:ascii="宋体" w:eastAsia="宋体" w:hAnsi="宋体" w:cs="宋体" w:hint="eastAsia"/>
          <w:color w:val="auto"/>
          <w:sz w:val="28"/>
          <w:szCs w:val="28"/>
        </w:rPr>
        <w:t>3</w:t>
      </w:r>
      <w:r>
        <w:rPr>
          <w:rFonts w:ascii="宋体" w:eastAsia="宋体" w:hAnsi="宋体" w:cs="宋体"/>
          <w:color w:val="auto"/>
          <w:sz w:val="28"/>
          <w:szCs w:val="28"/>
        </w:rPr>
        <w:t>0</w:t>
      </w:r>
      <w:r>
        <w:rPr>
          <w:rFonts w:ascii="宋体" w:eastAsia="宋体" w:hAnsi="宋体" w:cs="宋体" w:hint="eastAsia"/>
          <w:color w:val="auto"/>
          <w:sz w:val="28"/>
          <w:szCs w:val="28"/>
        </w:rPr>
        <w:t>篇；获批各类纵向及横向科研项目</w:t>
      </w:r>
      <w:r>
        <w:rPr>
          <w:rFonts w:ascii="宋体" w:eastAsia="宋体" w:hAnsi="宋体" w:cs="宋体" w:hint="eastAsia"/>
          <w:color w:val="auto"/>
          <w:sz w:val="28"/>
          <w:szCs w:val="28"/>
        </w:rPr>
        <w:t>30</w:t>
      </w:r>
      <w:r>
        <w:rPr>
          <w:rFonts w:ascii="宋体" w:eastAsia="宋体" w:hAnsi="宋体" w:cs="宋体" w:hint="eastAsia"/>
          <w:color w:val="auto"/>
          <w:sz w:val="28"/>
          <w:szCs w:val="28"/>
        </w:rPr>
        <w:t>余项，</w:t>
      </w:r>
      <w:r>
        <w:rPr>
          <w:rFonts w:ascii="宋体" w:eastAsia="宋体" w:hAnsi="宋体" w:cs="宋体" w:hint="eastAsia"/>
          <w:color w:val="auto"/>
          <w:sz w:val="28"/>
          <w:szCs w:val="28"/>
        </w:rPr>
        <w:t>3</w:t>
      </w:r>
      <w:r>
        <w:rPr>
          <w:rFonts w:ascii="宋体" w:eastAsia="宋体" w:hAnsi="宋体" w:cs="宋体" w:hint="eastAsia"/>
          <w:color w:val="auto"/>
          <w:sz w:val="28"/>
          <w:szCs w:val="28"/>
        </w:rPr>
        <w:t>项研究成果获省部级奖项。</w:t>
      </w:r>
    </w:p>
    <w:p w14:paraId="2FF99FC3" w14:textId="77777777" w:rsidR="00D33EF8" w:rsidRDefault="003B67E7">
      <w:pPr>
        <w:pStyle w:val="3"/>
        <w:rPr>
          <w:rFonts w:ascii="宋体" w:eastAsia="宋体" w:hAnsi="宋体"/>
          <w:b w:val="0"/>
          <w:szCs w:val="22"/>
        </w:rPr>
      </w:pPr>
      <w:r>
        <w:rPr>
          <w:rFonts w:hint="eastAsia"/>
        </w:rPr>
        <w:t>2</w:t>
      </w:r>
      <w:r>
        <w:t>.4</w:t>
      </w:r>
      <w:r>
        <w:t>教学科研支撑</w:t>
      </w:r>
    </w:p>
    <w:p w14:paraId="1672CABE" w14:textId="1B36EE1E" w:rsidR="00D33EF8" w:rsidRDefault="003B67E7">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以天津城市建设中历史建筑保护与更新的实际问题为突破口，依托“历史街区保护与绿色更新关键技术”省部级创新团队，结合本专业在历史建筑营造、价值评价、更新与后评估方面的特色，积极为天津的历史建筑保护与更新工作</w:t>
      </w:r>
      <w:r w:rsidR="00D34D09">
        <w:rPr>
          <w:rFonts w:ascii="宋体" w:eastAsia="宋体" w:hAnsi="宋体" w:cs="宋体" w:hint="eastAsia"/>
          <w:color w:val="auto"/>
          <w:sz w:val="28"/>
          <w:szCs w:val="28"/>
        </w:rPr>
        <w:t>建</w:t>
      </w:r>
      <w:r>
        <w:rPr>
          <w:rFonts w:ascii="宋体" w:eastAsia="宋体" w:hAnsi="宋体" w:cs="宋体" w:hint="eastAsia"/>
          <w:color w:val="auto"/>
          <w:sz w:val="28"/>
          <w:szCs w:val="28"/>
        </w:rPr>
        <w:t>言献策，助力天津历史文化名城建设。</w:t>
      </w:r>
    </w:p>
    <w:p w14:paraId="4CD898C4"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持续对天津市域范围内的历史风貌建筑、革命遗址、工业遗产等不可移动文物进行了调查，利用三维扫描技术、航拍技术等对重点建筑建立了数字模型，为相关单位开展历史风貌建筑的保护、活化与再利用提供数据支撑服务。结合庆祝中国共产党成立</w:t>
      </w:r>
      <w:r>
        <w:rPr>
          <w:rFonts w:ascii="宋体" w:eastAsia="宋体" w:hAnsi="宋体" w:cs="宋体" w:hint="eastAsia"/>
          <w:color w:val="auto"/>
          <w:sz w:val="28"/>
          <w:szCs w:val="28"/>
        </w:rPr>
        <w:t>100</w:t>
      </w:r>
      <w:r>
        <w:rPr>
          <w:rFonts w:ascii="宋体" w:eastAsia="宋体" w:hAnsi="宋体" w:cs="宋体" w:hint="eastAsia"/>
          <w:color w:val="auto"/>
          <w:sz w:val="28"/>
          <w:szCs w:val="28"/>
        </w:rPr>
        <w:t>周年活动，在之前工作的基础</w:t>
      </w:r>
      <w:r>
        <w:rPr>
          <w:rFonts w:ascii="宋体" w:eastAsia="宋体" w:hAnsi="宋体" w:cs="宋体" w:hint="eastAsia"/>
          <w:color w:val="auto"/>
          <w:sz w:val="28"/>
          <w:szCs w:val="28"/>
        </w:rPr>
        <w:t>上，</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年承办了“革命丰碑</w:t>
      </w:r>
      <w:r>
        <w:rPr>
          <w:rFonts w:ascii="宋体" w:eastAsia="宋体" w:hAnsi="宋体" w:cs="宋体" w:hint="eastAsia"/>
          <w:color w:val="auto"/>
          <w:sz w:val="28"/>
          <w:szCs w:val="28"/>
        </w:rPr>
        <w:t>-</w:t>
      </w:r>
      <w:r>
        <w:rPr>
          <w:rFonts w:ascii="宋体" w:eastAsia="宋体" w:hAnsi="宋体" w:cs="宋体" w:hint="eastAsia"/>
          <w:color w:val="auto"/>
          <w:sz w:val="28"/>
          <w:szCs w:val="28"/>
        </w:rPr>
        <w:t>天津市红色旧址展览”，并于</w:t>
      </w:r>
      <w:r>
        <w:rPr>
          <w:rFonts w:ascii="宋体" w:eastAsia="宋体" w:hAnsi="宋体" w:cs="宋体" w:hint="eastAsia"/>
          <w:color w:val="auto"/>
          <w:sz w:val="28"/>
          <w:szCs w:val="28"/>
        </w:rPr>
        <w:t>1</w:t>
      </w:r>
      <w:r>
        <w:rPr>
          <w:rFonts w:ascii="宋体" w:eastAsia="宋体" w:hAnsi="宋体" w:cs="宋体"/>
          <w:color w:val="auto"/>
          <w:sz w:val="28"/>
          <w:szCs w:val="28"/>
        </w:rPr>
        <w:t>1</w:t>
      </w:r>
      <w:r>
        <w:rPr>
          <w:rFonts w:ascii="宋体" w:eastAsia="宋体" w:hAnsi="宋体" w:cs="宋体" w:hint="eastAsia"/>
          <w:color w:val="auto"/>
          <w:sz w:val="28"/>
          <w:szCs w:val="28"/>
        </w:rPr>
        <w:t>月获批天津市青少年实践教育阵地。</w:t>
      </w:r>
      <w:r>
        <w:rPr>
          <w:rFonts w:ascii="宋体" w:eastAsia="宋体" w:hAnsi="宋体" w:cs="宋体" w:hint="eastAsia"/>
          <w:color w:val="auto"/>
          <w:sz w:val="28"/>
          <w:szCs w:val="28"/>
        </w:rPr>
        <w:t>2021</w:t>
      </w:r>
      <w:r>
        <w:rPr>
          <w:rFonts w:ascii="宋体" w:eastAsia="宋体" w:hAnsi="宋体" w:cs="宋体" w:hint="eastAsia"/>
          <w:color w:val="auto"/>
          <w:sz w:val="28"/>
          <w:szCs w:val="28"/>
        </w:rPr>
        <w:t>年相关成果获科研奖项</w:t>
      </w:r>
      <w:r>
        <w:rPr>
          <w:rFonts w:ascii="宋体" w:eastAsia="宋体" w:hAnsi="宋体" w:cs="宋体" w:hint="eastAsia"/>
          <w:color w:val="auto"/>
          <w:sz w:val="28"/>
          <w:szCs w:val="28"/>
        </w:rPr>
        <w:t>1</w:t>
      </w:r>
      <w:r>
        <w:rPr>
          <w:rFonts w:ascii="宋体" w:eastAsia="宋体" w:hAnsi="宋体" w:cs="宋体" w:hint="eastAsia"/>
          <w:color w:val="auto"/>
          <w:sz w:val="28"/>
          <w:szCs w:val="28"/>
        </w:rPr>
        <w:t>项，获批省部级科研</w:t>
      </w:r>
      <w:r>
        <w:rPr>
          <w:rFonts w:ascii="宋体" w:eastAsia="宋体" w:hAnsi="宋体" w:cs="宋体" w:hint="eastAsia"/>
          <w:color w:val="auto"/>
          <w:sz w:val="28"/>
          <w:szCs w:val="28"/>
        </w:rPr>
        <w:t>2</w:t>
      </w:r>
      <w:r>
        <w:rPr>
          <w:rFonts w:ascii="宋体" w:eastAsia="宋体" w:hAnsi="宋体" w:cs="宋体" w:hint="eastAsia"/>
          <w:color w:val="auto"/>
          <w:sz w:val="28"/>
          <w:szCs w:val="28"/>
        </w:rPr>
        <w:t>项，思想政治工作精品项目——课程育人项目</w:t>
      </w:r>
      <w:r>
        <w:rPr>
          <w:rFonts w:ascii="宋体" w:eastAsia="宋体" w:hAnsi="宋体" w:cs="宋体" w:hint="eastAsia"/>
          <w:color w:val="auto"/>
          <w:sz w:val="28"/>
          <w:szCs w:val="28"/>
        </w:rPr>
        <w:t>1</w:t>
      </w:r>
      <w:r>
        <w:rPr>
          <w:rFonts w:ascii="宋体" w:eastAsia="宋体" w:hAnsi="宋体" w:cs="宋体" w:hint="eastAsia"/>
          <w:color w:val="auto"/>
          <w:sz w:val="28"/>
          <w:szCs w:val="28"/>
        </w:rPr>
        <w:t>项。</w:t>
      </w:r>
      <w:r>
        <w:rPr>
          <w:rFonts w:ascii="宋体" w:eastAsia="宋体" w:hAnsi="宋体" w:cs="宋体" w:hint="eastAsia"/>
          <w:color w:val="auto"/>
          <w:sz w:val="28"/>
          <w:szCs w:val="28"/>
        </w:rPr>
        <w:t>2</w:t>
      </w:r>
      <w:r>
        <w:rPr>
          <w:rFonts w:ascii="宋体" w:eastAsia="宋体" w:hAnsi="宋体" w:cs="宋体" w:hint="eastAsia"/>
          <w:color w:val="auto"/>
          <w:sz w:val="28"/>
          <w:szCs w:val="28"/>
        </w:rPr>
        <w:t>门课程获批天津市党史精品课，</w:t>
      </w:r>
      <w:r>
        <w:rPr>
          <w:rFonts w:ascii="宋体" w:eastAsia="宋体" w:hAnsi="宋体" w:cs="宋体" w:hint="eastAsia"/>
          <w:color w:val="auto"/>
          <w:sz w:val="28"/>
          <w:szCs w:val="28"/>
        </w:rPr>
        <w:t>1</w:t>
      </w:r>
      <w:r>
        <w:rPr>
          <w:rFonts w:ascii="宋体" w:eastAsia="宋体" w:hAnsi="宋体" w:cs="宋体" w:hint="eastAsia"/>
          <w:color w:val="auto"/>
          <w:sz w:val="28"/>
          <w:szCs w:val="28"/>
        </w:rPr>
        <w:t>门课程入选全国课程思政教学资源库。</w:t>
      </w:r>
    </w:p>
    <w:p w14:paraId="2C696475" w14:textId="77777777" w:rsidR="00D33EF8" w:rsidRDefault="003B67E7">
      <w:pPr>
        <w:pStyle w:val="3"/>
        <w:rPr>
          <w:rFonts w:ascii="宋体" w:eastAsia="宋体" w:hAnsi="宋体" w:cs="Arial"/>
          <w:color w:val="000000"/>
          <w:kern w:val="0"/>
        </w:rPr>
      </w:pPr>
      <w:r>
        <w:rPr>
          <w:rFonts w:hint="eastAsia"/>
        </w:rPr>
        <w:lastRenderedPageBreak/>
        <w:t>2</w:t>
      </w:r>
      <w:r>
        <w:t>.5</w:t>
      </w:r>
      <w:r>
        <w:rPr>
          <w:rFonts w:hint="eastAsia"/>
        </w:rPr>
        <w:t>奖助体系</w:t>
      </w:r>
    </w:p>
    <w:p w14:paraId="623F9A65" w14:textId="77777777" w:rsidR="00D33EF8" w:rsidRDefault="003B67E7">
      <w:pPr>
        <w:pStyle w:val="4"/>
        <w:ind w:left="560"/>
        <w:rPr>
          <w:rStyle w:val="40"/>
          <w:b/>
          <w:bCs/>
        </w:rPr>
      </w:pPr>
      <w:r>
        <w:rPr>
          <w:rStyle w:val="40"/>
          <w:b/>
          <w:bCs/>
        </w:rPr>
        <w:t>（</w:t>
      </w:r>
      <w:r>
        <w:rPr>
          <w:rStyle w:val="40"/>
          <w:rFonts w:hint="eastAsia"/>
          <w:b/>
          <w:bCs/>
        </w:rPr>
        <w:t>1</w:t>
      </w:r>
      <w:r>
        <w:rPr>
          <w:rStyle w:val="40"/>
          <w:b/>
          <w:bCs/>
        </w:rPr>
        <w:t>）</w:t>
      </w:r>
      <w:r>
        <w:rPr>
          <w:rStyle w:val="40"/>
          <w:rFonts w:hint="eastAsia"/>
          <w:b/>
          <w:bCs/>
        </w:rPr>
        <w:t>奖助体系</w:t>
      </w:r>
    </w:p>
    <w:p w14:paraId="3D12EFE1" w14:textId="77777777" w:rsidR="00D33EF8" w:rsidRDefault="003B67E7">
      <w:pPr>
        <w:spacing w:line="360" w:lineRule="auto"/>
        <w:ind w:firstLine="480"/>
        <w:rPr>
          <w:rFonts w:ascii="宋体" w:hAnsi="宋体"/>
        </w:rPr>
      </w:pPr>
      <w:r>
        <w:rPr>
          <w:rFonts w:hint="eastAsia"/>
          <w:szCs w:val="28"/>
        </w:rPr>
        <w:t>学校具有完备的研究生奖助体系，研究生奖学金包括国家奖学金、三助奖学金和学业奖学金（</w:t>
      </w:r>
      <w:r>
        <w:rPr>
          <w:szCs w:val="28"/>
        </w:rPr>
        <w:t>表</w:t>
      </w:r>
      <w:r>
        <w:rPr>
          <w:rFonts w:hint="eastAsia"/>
          <w:szCs w:val="28"/>
        </w:rPr>
        <w:t>2</w:t>
      </w:r>
      <w:r>
        <w:rPr>
          <w:szCs w:val="28"/>
        </w:rPr>
        <w:t>）</w:t>
      </w:r>
      <w:r>
        <w:rPr>
          <w:rFonts w:hint="eastAsia"/>
          <w:szCs w:val="28"/>
        </w:rPr>
        <w:t>。</w:t>
      </w:r>
    </w:p>
    <w:p w14:paraId="1A8966C1" w14:textId="77777777" w:rsidR="00D33EF8" w:rsidRPr="0006158E" w:rsidRDefault="003B67E7" w:rsidP="006A2595">
      <w:pPr>
        <w:widowControl/>
        <w:spacing w:beforeLines="50" w:before="156"/>
        <w:jc w:val="center"/>
        <w:rPr>
          <w:rFonts w:ascii="宋体" w:hAnsi="宋体" w:cs="Times New Roman"/>
          <w:color w:val="000000"/>
          <w:sz w:val="21"/>
          <w:szCs w:val="21"/>
          <w:lang w:bidi="ar"/>
        </w:rPr>
      </w:pPr>
      <w:r w:rsidRPr="0006158E">
        <w:rPr>
          <w:rFonts w:ascii="宋体" w:hAnsi="宋体" w:cs="Times New Roman"/>
          <w:color w:val="000000"/>
          <w:sz w:val="21"/>
          <w:szCs w:val="21"/>
          <w:lang w:bidi="ar"/>
        </w:rPr>
        <w:t>表</w:t>
      </w:r>
      <w:r w:rsidRPr="0006158E">
        <w:rPr>
          <w:rFonts w:ascii="宋体" w:hAnsi="宋体" w:cs="Times New Roman" w:hint="eastAsia"/>
          <w:color w:val="000000"/>
          <w:sz w:val="21"/>
          <w:szCs w:val="21"/>
          <w:lang w:bidi="ar"/>
        </w:rPr>
        <w:t>2</w:t>
      </w:r>
      <w:r w:rsidRPr="0006158E">
        <w:rPr>
          <w:rFonts w:ascii="宋体" w:hAnsi="宋体" w:cs="Times New Roman"/>
          <w:color w:val="000000"/>
          <w:sz w:val="21"/>
          <w:szCs w:val="21"/>
          <w:lang w:bidi="ar"/>
        </w:rPr>
        <w:t>研究生奖助体系情况汇总表</w:t>
      </w:r>
    </w:p>
    <w:tbl>
      <w:tblPr>
        <w:tblW w:w="828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36"/>
        <w:gridCol w:w="1996"/>
        <w:gridCol w:w="2398"/>
        <w:gridCol w:w="1991"/>
        <w:gridCol w:w="1060"/>
      </w:tblGrid>
      <w:tr w:rsidR="00D33EF8" w:rsidRPr="0006158E" w14:paraId="0733DF2F" w14:textId="77777777" w:rsidTr="006A2595">
        <w:trPr>
          <w:trHeight w:val="364"/>
          <w:jc w:val="center"/>
        </w:trPr>
        <w:tc>
          <w:tcPr>
            <w:tcW w:w="836" w:type="dxa"/>
          </w:tcPr>
          <w:p w14:paraId="2437AFB0" w14:textId="77777777" w:rsidR="00D33EF8" w:rsidRPr="0006158E" w:rsidRDefault="003B67E7">
            <w:pPr>
              <w:jc w:val="center"/>
              <w:rPr>
                <w:rFonts w:ascii="宋体" w:hAnsi="宋体"/>
                <w:b/>
                <w:sz w:val="21"/>
                <w:szCs w:val="21"/>
              </w:rPr>
            </w:pPr>
            <w:r w:rsidRPr="0006158E">
              <w:rPr>
                <w:rFonts w:ascii="宋体" w:hAnsi="宋体"/>
                <w:b/>
                <w:sz w:val="21"/>
                <w:szCs w:val="21"/>
              </w:rPr>
              <w:t>序号</w:t>
            </w:r>
          </w:p>
        </w:tc>
        <w:tc>
          <w:tcPr>
            <w:tcW w:w="1996" w:type="dxa"/>
          </w:tcPr>
          <w:p w14:paraId="075BC7E9" w14:textId="77777777" w:rsidR="00D33EF8" w:rsidRPr="0006158E" w:rsidRDefault="003B67E7">
            <w:pPr>
              <w:jc w:val="center"/>
              <w:rPr>
                <w:rFonts w:ascii="宋体" w:hAnsi="宋体"/>
                <w:b/>
                <w:sz w:val="21"/>
                <w:szCs w:val="21"/>
              </w:rPr>
            </w:pPr>
            <w:r w:rsidRPr="0006158E">
              <w:rPr>
                <w:rFonts w:ascii="宋体" w:hAnsi="宋体"/>
                <w:b/>
                <w:sz w:val="21"/>
                <w:szCs w:val="21"/>
              </w:rPr>
              <w:t>奖、助、贷名称</w:t>
            </w:r>
          </w:p>
        </w:tc>
        <w:tc>
          <w:tcPr>
            <w:tcW w:w="2398" w:type="dxa"/>
          </w:tcPr>
          <w:p w14:paraId="6710E85E" w14:textId="77777777" w:rsidR="00D33EF8" w:rsidRPr="0006158E" w:rsidRDefault="003B67E7">
            <w:pPr>
              <w:jc w:val="center"/>
              <w:rPr>
                <w:rFonts w:ascii="宋体" w:hAnsi="宋体"/>
                <w:b/>
                <w:sz w:val="21"/>
                <w:szCs w:val="21"/>
              </w:rPr>
            </w:pPr>
            <w:r w:rsidRPr="0006158E">
              <w:rPr>
                <w:rFonts w:ascii="宋体" w:hAnsi="宋体"/>
                <w:b/>
                <w:sz w:val="21"/>
                <w:szCs w:val="21"/>
              </w:rPr>
              <w:t>资助水平</w:t>
            </w:r>
            <w:r w:rsidRPr="0006158E">
              <w:rPr>
                <w:rFonts w:ascii="宋体" w:hAnsi="宋体" w:hint="eastAsia"/>
                <w:b/>
                <w:sz w:val="21"/>
                <w:szCs w:val="21"/>
              </w:rPr>
              <w:t>（元</w:t>
            </w:r>
            <w:r w:rsidRPr="0006158E">
              <w:rPr>
                <w:rFonts w:ascii="宋体" w:hAnsi="宋体" w:hint="eastAsia"/>
                <w:b/>
                <w:sz w:val="21"/>
                <w:szCs w:val="21"/>
              </w:rPr>
              <w:t>/</w:t>
            </w:r>
            <w:r w:rsidRPr="0006158E">
              <w:rPr>
                <w:rFonts w:ascii="宋体" w:hAnsi="宋体" w:hint="eastAsia"/>
                <w:b/>
                <w:sz w:val="21"/>
                <w:szCs w:val="21"/>
              </w:rPr>
              <w:t>人）</w:t>
            </w:r>
          </w:p>
        </w:tc>
        <w:tc>
          <w:tcPr>
            <w:tcW w:w="1991" w:type="dxa"/>
          </w:tcPr>
          <w:p w14:paraId="0EAF5D3B" w14:textId="77777777" w:rsidR="00D33EF8" w:rsidRPr="0006158E" w:rsidRDefault="003B67E7">
            <w:pPr>
              <w:jc w:val="center"/>
              <w:rPr>
                <w:rFonts w:ascii="宋体" w:hAnsi="宋体"/>
                <w:b/>
                <w:sz w:val="21"/>
                <w:szCs w:val="21"/>
              </w:rPr>
            </w:pPr>
            <w:r w:rsidRPr="0006158E">
              <w:rPr>
                <w:rFonts w:ascii="宋体" w:hAnsi="宋体"/>
                <w:b/>
                <w:sz w:val="21"/>
                <w:szCs w:val="21"/>
              </w:rPr>
              <w:t>资助对象</w:t>
            </w:r>
          </w:p>
        </w:tc>
        <w:tc>
          <w:tcPr>
            <w:tcW w:w="1060" w:type="dxa"/>
          </w:tcPr>
          <w:p w14:paraId="7898564E" w14:textId="38C92485" w:rsidR="00D33EF8" w:rsidRPr="0006158E" w:rsidRDefault="003B67E7">
            <w:pPr>
              <w:jc w:val="center"/>
              <w:rPr>
                <w:rFonts w:ascii="宋体" w:hAnsi="宋体"/>
                <w:b/>
                <w:sz w:val="21"/>
                <w:szCs w:val="21"/>
              </w:rPr>
            </w:pPr>
            <w:r w:rsidRPr="0006158E">
              <w:rPr>
                <w:rFonts w:ascii="宋体" w:hAnsi="宋体"/>
                <w:b/>
                <w:sz w:val="21"/>
                <w:szCs w:val="21"/>
              </w:rPr>
              <w:t>覆盖率</w:t>
            </w:r>
          </w:p>
        </w:tc>
      </w:tr>
      <w:tr w:rsidR="00D33EF8" w:rsidRPr="0006158E" w14:paraId="7F2EBA46" w14:textId="77777777" w:rsidTr="006A2595">
        <w:trPr>
          <w:jc w:val="center"/>
        </w:trPr>
        <w:tc>
          <w:tcPr>
            <w:tcW w:w="836" w:type="dxa"/>
            <w:vAlign w:val="center"/>
          </w:tcPr>
          <w:p w14:paraId="6C05B077"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1</w:t>
            </w:r>
          </w:p>
        </w:tc>
        <w:tc>
          <w:tcPr>
            <w:tcW w:w="1996" w:type="dxa"/>
            <w:vAlign w:val="center"/>
          </w:tcPr>
          <w:p w14:paraId="314FAD62"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国家奖学金</w:t>
            </w:r>
          </w:p>
        </w:tc>
        <w:tc>
          <w:tcPr>
            <w:tcW w:w="2398" w:type="dxa"/>
            <w:vAlign w:val="center"/>
          </w:tcPr>
          <w:p w14:paraId="58BB4EA9"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20</w:t>
            </w:r>
            <w:r w:rsidRPr="0006158E">
              <w:rPr>
                <w:rFonts w:ascii="宋体" w:hAnsi="宋体" w:hint="eastAsia"/>
                <w:sz w:val="21"/>
                <w:szCs w:val="21"/>
              </w:rPr>
              <w:t>000</w:t>
            </w:r>
          </w:p>
        </w:tc>
        <w:tc>
          <w:tcPr>
            <w:tcW w:w="1991" w:type="dxa"/>
            <w:vAlign w:val="center"/>
          </w:tcPr>
          <w:p w14:paraId="24C57CDE"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在读研究生</w:t>
            </w:r>
          </w:p>
        </w:tc>
        <w:tc>
          <w:tcPr>
            <w:tcW w:w="1060" w:type="dxa"/>
            <w:vAlign w:val="center"/>
          </w:tcPr>
          <w:p w14:paraId="47541176"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1.5</w:t>
            </w:r>
            <w:r w:rsidRPr="0006158E">
              <w:rPr>
                <w:rFonts w:ascii="宋体" w:hAnsi="宋体" w:hint="eastAsia"/>
                <w:sz w:val="21"/>
                <w:szCs w:val="21"/>
              </w:rPr>
              <w:t>%</w:t>
            </w:r>
          </w:p>
        </w:tc>
      </w:tr>
      <w:tr w:rsidR="00D33EF8" w:rsidRPr="0006158E" w14:paraId="08A177B7" w14:textId="77777777" w:rsidTr="006A2595">
        <w:trPr>
          <w:trHeight w:val="313"/>
          <w:jc w:val="center"/>
        </w:trPr>
        <w:tc>
          <w:tcPr>
            <w:tcW w:w="836" w:type="dxa"/>
            <w:vAlign w:val="center"/>
          </w:tcPr>
          <w:p w14:paraId="3EAD0A8A"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2</w:t>
            </w:r>
          </w:p>
        </w:tc>
        <w:tc>
          <w:tcPr>
            <w:tcW w:w="1996" w:type="dxa"/>
            <w:vAlign w:val="center"/>
          </w:tcPr>
          <w:p w14:paraId="0F7A1465"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“三助”奖学金</w:t>
            </w:r>
          </w:p>
        </w:tc>
        <w:tc>
          <w:tcPr>
            <w:tcW w:w="2398" w:type="dxa"/>
            <w:vAlign w:val="center"/>
          </w:tcPr>
          <w:p w14:paraId="596D2C60"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6</w:t>
            </w:r>
            <w:r w:rsidRPr="0006158E">
              <w:rPr>
                <w:rFonts w:ascii="宋体" w:hAnsi="宋体" w:hint="eastAsia"/>
                <w:sz w:val="21"/>
                <w:szCs w:val="21"/>
              </w:rPr>
              <w:t>000</w:t>
            </w:r>
          </w:p>
        </w:tc>
        <w:tc>
          <w:tcPr>
            <w:tcW w:w="1991" w:type="dxa"/>
            <w:vAlign w:val="center"/>
          </w:tcPr>
          <w:p w14:paraId="4C4C35DE"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在读研究生</w:t>
            </w:r>
          </w:p>
        </w:tc>
        <w:tc>
          <w:tcPr>
            <w:tcW w:w="1060" w:type="dxa"/>
            <w:vAlign w:val="center"/>
          </w:tcPr>
          <w:p w14:paraId="22BB5B12"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100%</w:t>
            </w:r>
          </w:p>
        </w:tc>
      </w:tr>
      <w:tr w:rsidR="00D33EF8" w:rsidRPr="0006158E" w14:paraId="7CA9BB31" w14:textId="77777777" w:rsidTr="006A2595">
        <w:trPr>
          <w:jc w:val="center"/>
        </w:trPr>
        <w:tc>
          <w:tcPr>
            <w:tcW w:w="836" w:type="dxa"/>
            <w:vAlign w:val="center"/>
          </w:tcPr>
          <w:p w14:paraId="357A6778"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3</w:t>
            </w:r>
          </w:p>
        </w:tc>
        <w:tc>
          <w:tcPr>
            <w:tcW w:w="1996" w:type="dxa"/>
            <w:vAlign w:val="center"/>
          </w:tcPr>
          <w:p w14:paraId="33E04514"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学业奖学金</w:t>
            </w:r>
          </w:p>
        </w:tc>
        <w:tc>
          <w:tcPr>
            <w:tcW w:w="2398" w:type="dxa"/>
            <w:vAlign w:val="center"/>
          </w:tcPr>
          <w:p w14:paraId="3DC6EBFA"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10000</w:t>
            </w:r>
            <w:r w:rsidRPr="0006158E">
              <w:rPr>
                <w:rFonts w:ascii="宋体" w:hAnsi="宋体" w:hint="eastAsia"/>
                <w:sz w:val="21"/>
                <w:szCs w:val="21"/>
              </w:rPr>
              <w:t>、</w:t>
            </w:r>
            <w:r w:rsidRPr="0006158E">
              <w:rPr>
                <w:rFonts w:ascii="宋体" w:hAnsi="宋体" w:hint="eastAsia"/>
                <w:sz w:val="21"/>
                <w:szCs w:val="21"/>
              </w:rPr>
              <w:t>8000</w:t>
            </w:r>
            <w:r w:rsidRPr="0006158E">
              <w:rPr>
                <w:rFonts w:ascii="宋体" w:hAnsi="宋体" w:hint="eastAsia"/>
                <w:sz w:val="21"/>
                <w:szCs w:val="21"/>
              </w:rPr>
              <w:t>、</w:t>
            </w:r>
            <w:r w:rsidRPr="0006158E">
              <w:rPr>
                <w:rFonts w:ascii="宋体" w:hAnsi="宋体" w:hint="eastAsia"/>
                <w:sz w:val="21"/>
                <w:szCs w:val="21"/>
              </w:rPr>
              <w:t>6000</w:t>
            </w:r>
            <w:r w:rsidRPr="0006158E">
              <w:rPr>
                <w:rFonts w:ascii="宋体" w:hAnsi="宋体" w:hint="eastAsia"/>
                <w:sz w:val="21"/>
                <w:szCs w:val="21"/>
              </w:rPr>
              <w:t>、</w:t>
            </w:r>
            <w:r w:rsidRPr="0006158E">
              <w:rPr>
                <w:rFonts w:ascii="宋体" w:hAnsi="宋体" w:hint="eastAsia"/>
                <w:sz w:val="21"/>
                <w:szCs w:val="21"/>
              </w:rPr>
              <w:t>4000</w:t>
            </w:r>
          </w:p>
        </w:tc>
        <w:tc>
          <w:tcPr>
            <w:tcW w:w="1991" w:type="dxa"/>
            <w:vAlign w:val="center"/>
          </w:tcPr>
          <w:p w14:paraId="1357BC40" w14:textId="77777777" w:rsidR="00D33EF8" w:rsidRPr="0006158E" w:rsidRDefault="003B67E7">
            <w:pPr>
              <w:spacing w:line="300" w:lineRule="auto"/>
              <w:jc w:val="center"/>
              <w:rPr>
                <w:rFonts w:ascii="宋体" w:hAnsi="宋体"/>
                <w:sz w:val="21"/>
                <w:szCs w:val="21"/>
              </w:rPr>
            </w:pPr>
            <w:r w:rsidRPr="0006158E">
              <w:rPr>
                <w:rFonts w:ascii="宋体" w:hAnsi="宋体" w:hint="eastAsia"/>
                <w:sz w:val="21"/>
                <w:szCs w:val="21"/>
              </w:rPr>
              <w:t>在读研究生</w:t>
            </w:r>
          </w:p>
        </w:tc>
        <w:tc>
          <w:tcPr>
            <w:tcW w:w="1060" w:type="dxa"/>
            <w:vAlign w:val="center"/>
          </w:tcPr>
          <w:p w14:paraId="27DDA257" w14:textId="77777777" w:rsidR="00D33EF8" w:rsidRPr="0006158E" w:rsidRDefault="003B67E7">
            <w:pPr>
              <w:spacing w:line="300" w:lineRule="auto"/>
              <w:jc w:val="center"/>
              <w:rPr>
                <w:rFonts w:ascii="宋体" w:hAnsi="宋体"/>
                <w:sz w:val="21"/>
                <w:szCs w:val="21"/>
              </w:rPr>
            </w:pPr>
            <w:r w:rsidRPr="0006158E">
              <w:rPr>
                <w:rFonts w:ascii="宋体" w:hAnsi="宋体"/>
                <w:sz w:val="21"/>
                <w:szCs w:val="21"/>
              </w:rPr>
              <w:t>10</w:t>
            </w:r>
            <w:r w:rsidRPr="0006158E">
              <w:rPr>
                <w:rFonts w:ascii="宋体" w:hAnsi="宋体" w:hint="eastAsia"/>
                <w:sz w:val="21"/>
                <w:szCs w:val="21"/>
              </w:rPr>
              <w:t>0%</w:t>
            </w:r>
          </w:p>
        </w:tc>
      </w:tr>
    </w:tbl>
    <w:p w14:paraId="167F53F8" w14:textId="77777777" w:rsidR="00D33EF8" w:rsidRDefault="003B67E7">
      <w:pPr>
        <w:pStyle w:val="4"/>
        <w:ind w:left="560"/>
        <w:rPr>
          <w:rStyle w:val="40"/>
          <w:b/>
          <w:bCs/>
        </w:rPr>
      </w:pPr>
      <w:r>
        <w:rPr>
          <w:rStyle w:val="40"/>
          <w:b/>
          <w:bCs/>
        </w:rPr>
        <w:t>（</w:t>
      </w:r>
      <w:r>
        <w:rPr>
          <w:rStyle w:val="40"/>
          <w:rFonts w:hint="eastAsia"/>
          <w:b/>
          <w:bCs/>
        </w:rPr>
        <w:t>2</w:t>
      </w:r>
      <w:r>
        <w:rPr>
          <w:rStyle w:val="40"/>
          <w:b/>
          <w:bCs/>
        </w:rPr>
        <w:t>）</w:t>
      </w:r>
      <w:r>
        <w:rPr>
          <w:rStyle w:val="40"/>
          <w:rFonts w:hint="eastAsia"/>
          <w:b/>
          <w:bCs/>
        </w:rPr>
        <w:t>奖励情况</w:t>
      </w:r>
    </w:p>
    <w:p w14:paraId="2DC50CAA" w14:textId="77777777" w:rsidR="00D33EF8" w:rsidRDefault="003B67E7">
      <w:pPr>
        <w:spacing w:line="360" w:lineRule="auto"/>
        <w:ind w:firstLineChars="250" w:firstLine="700"/>
      </w:pPr>
      <w:r>
        <w:rPr>
          <w:rFonts w:hint="eastAsia"/>
          <w:szCs w:val="28"/>
        </w:rPr>
        <w:t>202</w:t>
      </w:r>
      <w:r>
        <w:rPr>
          <w:szCs w:val="28"/>
        </w:rPr>
        <w:t>1</w:t>
      </w:r>
      <w:r>
        <w:rPr>
          <w:rFonts w:hint="eastAsia"/>
          <w:szCs w:val="28"/>
        </w:rPr>
        <w:t>年本学位点</w:t>
      </w:r>
      <w:r>
        <w:rPr>
          <w:szCs w:val="28"/>
        </w:rPr>
        <w:t>1</w:t>
      </w:r>
      <w:r>
        <w:rPr>
          <w:rFonts w:hint="eastAsia"/>
          <w:szCs w:val="28"/>
        </w:rPr>
        <w:t>名学生获得学业奖学金一等奖、</w:t>
      </w:r>
      <w:r>
        <w:rPr>
          <w:szCs w:val="28"/>
        </w:rPr>
        <w:t>4</w:t>
      </w:r>
      <w:r>
        <w:rPr>
          <w:rFonts w:hint="eastAsia"/>
          <w:szCs w:val="28"/>
        </w:rPr>
        <w:t>名学生获得学业奖学金二等奖、</w:t>
      </w:r>
      <w:r>
        <w:rPr>
          <w:szCs w:val="28"/>
        </w:rPr>
        <w:t>7</w:t>
      </w:r>
      <w:r>
        <w:rPr>
          <w:rFonts w:hint="eastAsia"/>
          <w:szCs w:val="28"/>
        </w:rPr>
        <w:t>名学生获得学业奖学金三等奖、</w:t>
      </w:r>
      <w:r>
        <w:rPr>
          <w:szCs w:val="28"/>
        </w:rPr>
        <w:t>14</w:t>
      </w:r>
      <w:r>
        <w:rPr>
          <w:rFonts w:hint="eastAsia"/>
          <w:szCs w:val="28"/>
        </w:rPr>
        <w:t>名学生获得学业奖学金四等奖。</w:t>
      </w:r>
    </w:p>
    <w:p w14:paraId="7B8398BE" w14:textId="77777777" w:rsidR="00D33EF8" w:rsidRDefault="003B67E7">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每年对研究生进行优秀研究生、优秀研究生干部和优秀研究生毕业生等荣誉进行评选。</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年本学位点</w:t>
      </w:r>
      <w:r>
        <w:rPr>
          <w:rFonts w:ascii="宋体" w:eastAsia="宋体" w:hAnsi="宋体" w:cs="宋体"/>
          <w:color w:val="auto"/>
          <w:sz w:val="28"/>
          <w:szCs w:val="28"/>
        </w:rPr>
        <w:t>1</w:t>
      </w:r>
      <w:r>
        <w:rPr>
          <w:rFonts w:ascii="宋体" w:eastAsia="宋体" w:hAnsi="宋体" w:cs="宋体" w:hint="eastAsia"/>
          <w:color w:val="auto"/>
          <w:sz w:val="28"/>
          <w:szCs w:val="28"/>
        </w:rPr>
        <w:t>名研究生获得优秀研究生，</w:t>
      </w:r>
      <w:r>
        <w:rPr>
          <w:rFonts w:ascii="宋体" w:eastAsia="宋体" w:hAnsi="宋体" w:cs="宋体"/>
          <w:color w:val="auto"/>
          <w:sz w:val="28"/>
          <w:szCs w:val="28"/>
        </w:rPr>
        <w:t>1</w:t>
      </w:r>
      <w:r>
        <w:rPr>
          <w:rFonts w:ascii="宋体" w:eastAsia="宋体" w:hAnsi="宋体" w:cs="宋体" w:hint="eastAsia"/>
          <w:color w:val="auto"/>
          <w:sz w:val="28"/>
          <w:szCs w:val="28"/>
        </w:rPr>
        <w:t>名研究生获得优秀研究生干部荣誉称号。</w:t>
      </w:r>
    </w:p>
    <w:p w14:paraId="028799B4" w14:textId="77777777" w:rsidR="00D33EF8" w:rsidRDefault="003B67E7">
      <w:pPr>
        <w:pStyle w:val="2"/>
      </w:pPr>
      <w:r>
        <w:t>三、人才培养</w:t>
      </w:r>
    </w:p>
    <w:p w14:paraId="2720386D" w14:textId="77777777" w:rsidR="00D33EF8" w:rsidRDefault="003B67E7">
      <w:pPr>
        <w:pStyle w:val="3"/>
      </w:pPr>
      <w:r>
        <w:rPr>
          <w:rFonts w:hint="eastAsia"/>
        </w:rPr>
        <w:t>3</w:t>
      </w:r>
      <w:r>
        <w:t>.1</w:t>
      </w:r>
      <w:r>
        <w:t>招生选拔</w:t>
      </w:r>
    </w:p>
    <w:p w14:paraId="1A21839F" w14:textId="5F37874A"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年本学位点圆满完成招生计划，共录取</w:t>
      </w:r>
      <w:r>
        <w:rPr>
          <w:rFonts w:ascii="宋体" w:eastAsia="宋体" w:hAnsi="宋体" w:cs="宋体" w:hint="eastAsia"/>
          <w:color w:val="auto"/>
          <w:sz w:val="28"/>
          <w:szCs w:val="28"/>
        </w:rPr>
        <w:t>12</w:t>
      </w:r>
      <w:r>
        <w:rPr>
          <w:rFonts w:ascii="宋体" w:eastAsia="宋体" w:hAnsi="宋体" w:cs="宋体" w:hint="eastAsia"/>
          <w:color w:val="auto"/>
          <w:sz w:val="28"/>
          <w:szCs w:val="28"/>
        </w:rPr>
        <w:t>人。</w:t>
      </w:r>
      <w:r w:rsidR="00D7362C">
        <w:rPr>
          <w:rFonts w:ascii="宋体" w:eastAsia="宋体" w:hAnsi="宋体" w:cs="宋体" w:hint="eastAsia"/>
          <w:color w:val="auto"/>
          <w:sz w:val="28"/>
          <w:szCs w:val="28"/>
        </w:rPr>
        <w:t>截至</w:t>
      </w:r>
      <w:r>
        <w:rPr>
          <w:rFonts w:ascii="宋体" w:eastAsia="宋体" w:hAnsi="宋体" w:cs="宋体" w:hint="eastAsia"/>
          <w:color w:val="auto"/>
          <w:sz w:val="28"/>
          <w:szCs w:val="28"/>
        </w:rPr>
        <w:t>2021</w:t>
      </w:r>
      <w:r>
        <w:rPr>
          <w:rFonts w:ascii="宋体" w:eastAsia="宋体" w:hAnsi="宋体" w:cs="宋体" w:hint="eastAsia"/>
          <w:color w:val="auto"/>
          <w:sz w:val="28"/>
          <w:szCs w:val="28"/>
        </w:rPr>
        <w:t>年</w:t>
      </w:r>
      <w:r>
        <w:rPr>
          <w:rFonts w:ascii="宋体" w:eastAsia="宋体" w:hAnsi="宋体" w:cs="宋体" w:hint="eastAsia"/>
          <w:color w:val="auto"/>
          <w:sz w:val="28"/>
          <w:szCs w:val="28"/>
        </w:rPr>
        <w:t>12</w:t>
      </w:r>
      <w:r>
        <w:rPr>
          <w:rFonts w:ascii="宋体" w:eastAsia="宋体" w:hAnsi="宋体" w:cs="宋体" w:hint="eastAsia"/>
          <w:color w:val="auto"/>
          <w:sz w:val="28"/>
          <w:szCs w:val="28"/>
        </w:rPr>
        <w:t>月底，本学位点在校研究生共</w:t>
      </w:r>
      <w:r>
        <w:rPr>
          <w:rFonts w:ascii="宋体" w:eastAsia="宋体" w:hAnsi="宋体" w:cs="宋体" w:hint="eastAsia"/>
          <w:color w:val="auto"/>
          <w:sz w:val="28"/>
          <w:szCs w:val="28"/>
        </w:rPr>
        <w:t>3</w:t>
      </w:r>
      <w:r>
        <w:rPr>
          <w:rFonts w:ascii="宋体" w:eastAsia="宋体" w:hAnsi="宋体" w:cs="宋体"/>
          <w:color w:val="auto"/>
          <w:sz w:val="28"/>
          <w:szCs w:val="28"/>
        </w:rPr>
        <w:t>7</w:t>
      </w:r>
      <w:r>
        <w:rPr>
          <w:rFonts w:ascii="宋体" w:eastAsia="宋体" w:hAnsi="宋体" w:cs="宋体" w:hint="eastAsia"/>
          <w:color w:val="auto"/>
          <w:sz w:val="28"/>
          <w:szCs w:val="28"/>
        </w:rPr>
        <w:t>人（</w:t>
      </w:r>
      <w:r>
        <w:rPr>
          <w:rFonts w:ascii="宋体" w:eastAsia="宋体" w:hAnsi="宋体" w:cs="宋体" w:hint="eastAsia"/>
          <w:color w:val="auto"/>
          <w:sz w:val="28"/>
          <w:szCs w:val="28"/>
        </w:rPr>
        <w:t>2019</w:t>
      </w:r>
      <w:r>
        <w:rPr>
          <w:rFonts w:ascii="宋体" w:eastAsia="宋体" w:hAnsi="宋体" w:cs="宋体" w:hint="eastAsia"/>
          <w:color w:val="auto"/>
          <w:sz w:val="28"/>
          <w:szCs w:val="28"/>
        </w:rPr>
        <w:t>级</w:t>
      </w:r>
      <w:r>
        <w:rPr>
          <w:rFonts w:ascii="宋体" w:eastAsia="宋体" w:hAnsi="宋体" w:cs="宋体" w:hint="eastAsia"/>
          <w:color w:val="auto"/>
          <w:sz w:val="28"/>
          <w:szCs w:val="28"/>
        </w:rPr>
        <w:t>13</w:t>
      </w:r>
      <w:r>
        <w:rPr>
          <w:rFonts w:ascii="宋体" w:eastAsia="宋体" w:hAnsi="宋体" w:cs="宋体" w:hint="eastAsia"/>
          <w:color w:val="auto"/>
          <w:sz w:val="28"/>
          <w:szCs w:val="28"/>
        </w:rPr>
        <w:t>人，</w:t>
      </w:r>
      <w:r>
        <w:rPr>
          <w:rFonts w:ascii="宋体" w:eastAsia="宋体" w:hAnsi="宋体" w:cs="宋体" w:hint="eastAsia"/>
          <w:color w:val="auto"/>
          <w:sz w:val="28"/>
          <w:szCs w:val="28"/>
        </w:rPr>
        <w:t>2020</w:t>
      </w:r>
      <w:r>
        <w:rPr>
          <w:rFonts w:ascii="宋体" w:eastAsia="宋体" w:hAnsi="宋体" w:cs="宋体" w:hint="eastAsia"/>
          <w:color w:val="auto"/>
          <w:sz w:val="28"/>
          <w:szCs w:val="28"/>
        </w:rPr>
        <w:t>级</w:t>
      </w:r>
      <w:r>
        <w:rPr>
          <w:rFonts w:ascii="宋体" w:eastAsia="宋体" w:hAnsi="宋体" w:cs="宋体" w:hint="eastAsia"/>
          <w:color w:val="auto"/>
          <w:sz w:val="28"/>
          <w:szCs w:val="28"/>
        </w:rPr>
        <w:t>12</w:t>
      </w:r>
      <w:r>
        <w:rPr>
          <w:rFonts w:ascii="宋体" w:eastAsia="宋体" w:hAnsi="宋体" w:cs="宋体" w:hint="eastAsia"/>
          <w:color w:val="auto"/>
          <w:sz w:val="28"/>
          <w:szCs w:val="28"/>
        </w:rPr>
        <w:t>人，</w:t>
      </w:r>
      <w:r>
        <w:rPr>
          <w:rFonts w:ascii="宋体" w:eastAsia="宋体" w:hAnsi="宋体" w:cs="宋体" w:hint="eastAsia"/>
          <w:color w:val="auto"/>
          <w:sz w:val="28"/>
          <w:szCs w:val="28"/>
        </w:rPr>
        <w:lastRenderedPageBreak/>
        <w:t>2</w:t>
      </w:r>
      <w:r>
        <w:rPr>
          <w:rFonts w:ascii="宋体" w:eastAsia="宋体" w:hAnsi="宋体" w:cs="宋体"/>
          <w:color w:val="auto"/>
          <w:sz w:val="28"/>
          <w:szCs w:val="28"/>
        </w:rPr>
        <w:t>021</w:t>
      </w:r>
      <w:r>
        <w:rPr>
          <w:rFonts w:ascii="宋体" w:eastAsia="宋体" w:hAnsi="宋体" w:cs="宋体" w:hint="eastAsia"/>
          <w:color w:val="auto"/>
          <w:sz w:val="28"/>
          <w:szCs w:val="28"/>
        </w:rPr>
        <w:t>级</w:t>
      </w:r>
      <w:r>
        <w:rPr>
          <w:rFonts w:ascii="宋体" w:eastAsia="宋体" w:hAnsi="宋体" w:cs="宋体" w:hint="eastAsia"/>
          <w:color w:val="auto"/>
          <w:sz w:val="28"/>
          <w:szCs w:val="28"/>
        </w:rPr>
        <w:t>1</w:t>
      </w:r>
      <w:r>
        <w:rPr>
          <w:rFonts w:ascii="宋体" w:eastAsia="宋体" w:hAnsi="宋体" w:cs="宋体"/>
          <w:color w:val="auto"/>
          <w:sz w:val="28"/>
          <w:szCs w:val="28"/>
        </w:rPr>
        <w:t>2</w:t>
      </w:r>
      <w:r>
        <w:rPr>
          <w:rFonts w:ascii="宋体" w:eastAsia="宋体" w:hAnsi="宋体" w:cs="宋体" w:hint="eastAsia"/>
          <w:color w:val="auto"/>
          <w:sz w:val="28"/>
          <w:szCs w:val="28"/>
        </w:rPr>
        <w:t>人）。</w:t>
      </w:r>
    </w:p>
    <w:p w14:paraId="12C322F6" w14:textId="77777777" w:rsidR="00D33EF8" w:rsidRDefault="003B67E7">
      <w:pPr>
        <w:pStyle w:val="3"/>
      </w:pPr>
      <w:r>
        <w:rPr>
          <w:rFonts w:hint="eastAsia"/>
        </w:rPr>
        <w:t>3</w:t>
      </w:r>
      <w:r>
        <w:t>.2</w:t>
      </w:r>
      <w:r>
        <w:t>思政教育</w:t>
      </w:r>
    </w:p>
    <w:p w14:paraId="6320F3AF"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配备专职研究生辅导员，专门负责研究生日常管理及思想政治教育。同时，通过召开学生工作专题研讨会，开设思想政治教育课题研究等，提升研究生辅导员的综合素质及专业化、职业化水平。根据《建筑学院学生辅导员岗位职责》、《班主任岗位细则》，以评优工作为契机，提高辅导员队伍的整体素质。组织召开班主任工作交流会、工作培训会，做到学初有计划、期末有总结，每年末评选优秀班主任并进行表彰。</w:t>
      </w:r>
    </w:p>
    <w:p w14:paraId="023162E2"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继续打造学院网络平台和公众号的思政教育专栏，形成线上网络育人阵地。强化朋辈引领和榜样教育的示范作用，做好线下思想引领工作。进一步完善网络意识形</w:t>
      </w:r>
      <w:r>
        <w:rPr>
          <w:rFonts w:ascii="宋体" w:eastAsia="宋体" w:hAnsi="宋体" w:cs="宋体" w:hint="eastAsia"/>
          <w:color w:val="auto"/>
          <w:sz w:val="28"/>
          <w:szCs w:val="28"/>
        </w:rPr>
        <w:t>态和学生思想动态分析，加强意识形态阵地管理，牢牢掌握意识形态工作主导权。</w:t>
      </w:r>
    </w:p>
    <w:p w14:paraId="3BAB3791" w14:textId="77777777" w:rsidR="00D33EF8" w:rsidRDefault="003B67E7">
      <w:pPr>
        <w:pStyle w:val="3"/>
      </w:pPr>
      <w:r>
        <w:rPr>
          <w:rFonts w:hint="eastAsia"/>
        </w:rPr>
        <w:t>3</w:t>
      </w:r>
      <w:r>
        <w:t>.3</w:t>
      </w:r>
      <w:r>
        <w:t>课程教学</w:t>
      </w:r>
    </w:p>
    <w:p w14:paraId="327F89C0" w14:textId="7BDB4D13" w:rsidR="00D33EF8" w:rsidRDefault="003B67E7">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年在保持本学位点已有特色和优势的基础上修订了本学点培养方案。本学位点现开设学位课</w:t>
      </w:r>
      <w:r>
        <w:rPr>
          <w:rFonts w:ascii="宋体" w:eastAsia="宋体" w:hAnsi="宋体" w:cs="宋体" w:hint="eastAsia"/>
          <w:color w:val="auto"/>
          <w:sz w:val="28"/>
          <w:szCs w:val="28"/>
        </w:rPr>
        <w:t>11</w:t>
      </w:r>
      <w:r>
        <w:rPr>
          <w:rFonts w:ascii="宋体" w:eastAsia="宋体" w:hAnsi="宋体" w:cs="宋体" w:hint="eastAsia"/>
          <w:color w:val="auto"/>
          <w:sz w:val="28"/>
          <w:szCs w:val="28"/>
        </w:rPr>
        <w:t>门，包含建筑设计（</w:t>
      </w:r>
      <w:r>
        <w:rPr>
          <w:rFonts w:ascii="宋体" w:eastAsia="宋体" w:hAnsi="宋体" w:cs="宋体" w:hint="eastAsia"/>
          <w:color w:val="auto"/>
          <w:sz w:val="28"/>
          <w:szCs w:val="28"/>
        </w:rPr>
        <w:t>1</w:t>
      </w:r>
      <w:r>
        <w:rPr>
          <w:rFonts w:ascii="宋体" w:eastAsia="宋体" w:hAnsi="宋体" w:cs="宋体" w:hint="eastAsia"/>
          <w:color w:val="auto"/>
          <w:sz w:val="28"/>
          <w:szCs w:val="28"/>
        </w:rPr>
        <w:t>）、建筑设计（</w:t>
      </w:r>
      <w:r>
        <w:rPr>
          <w:rFonts w:ascii="宋体" w:eastAsia="宋体" w:hAnsi="宋体" w:cs="宋体" w:hint="eastAsia"/>
          <w:color w:val="auto"/>
          <w:sz w:val="28"/>
          <w:szCs w:val="28"/>
        </w:rPr>
        <w:t>2</w:t>
      </w:r>
      <w:r>
        <w:rPr>
          <w:rFonts w:ascii="宋体" w:eastAsia="宋体" w:hAnsi="宋体" w:cs="宋体" w:hint="eastAsia"/>
          <w:color w:val="auto"/>
          <w:sz w:val="28"/>
          <w:szCs w:val="28"/>
        </w:rPr>
        <w:t>）、城市空间设计、环境行为学、建筑计划学、城市空间数字技术应用、建筑学研究方法等；同时紧密结合学科前沿，发挥学科群优势，围绕学科方向，在非学位课中设置建筑设计及其理论、建筑历史与理论、建筑技术科学三个选修课程模块，学生可根据研</w:t>
      </w:r>
      <w:r>
        <w:rPr>
          <w:rFonts w:ascii="宋体" w:eastAsia="宋体" w:hAnsi="宋体" w:cs="宋体" w:hint="eastAsia"/>
          <w:color w:val="auto"/>
          <w:sz w:val="28"/>
          <w:szCs w:val="28"/>
        </w:rPr>
        <w:lastRenderedPageBreak/>
        <w:t>究方向及研究兴趣，选择至少</w:t>
      </w:r>
      <w:r>
        <w:rPr>
          <w:rFonts w:ascii="宋体" w:eastAsia="宋体" w:hAnsi="宋体" w:cs="宋体" w:hint="eastAsia"/>
          <w:color w:val="auto"/>
          <w:sz w:val="28"/>
          <w:szCs w:val="28"/>
        </w:rPr>
        <w:t>4</w:t>
      </w:r>
      <w:r>
        <w:rPr>
          <w:rFonts w:ascii="宋体" w:eastAsia="宋体" w:hAnsi="宋体" w:cs="宋体" w:hint="eastAsia"/>
          <w:color w:val="auto"/>
          <w:sz w:val="28"/>
          <w:szCs w:val="28"/>
        </w:rPr>
        <w:t>门（不小于</w:t>
      </w:r>
      <w:r>
        <w:rPr>
          <w:rFonts w:ascii="宋体" w:eastAsia="宋体" w:hAnsi="宋体" w:cs="宋体"/>
          <w:color w:val="auto"/>
          <w:sz w:val="28"/>
          <w:szCs w:val="28"/>
        </w:rPr>
        <w:t>6</w:t>
      </w:r>
      <w:r>
        <w:rPr>
          <w:rFonts w:ascii="宋体" w:eastAsia="宋体" w:hAnsi="宋体" w:cs="宋体" w:hint="eastAsia"/>
          <w:color w:val="auto"/>
          <w:sz w:val="28"/>
          <w:szCs w:val="28"/>
        </w:rPr>
        <w:t>学分）从而构建“必修</w:t>
      </w:r>
      <w:r>
        <w:rPr>
          <w:rFonts w:ascii="宋体" w:eastAsia="宋体" w:hAnsi="宋体" w:cs="宋体" w:hint="eastAsia"/>
          <w:color w:val="auto"/>
          <w:sz w:val="28"/>
          <w:szCs w:val="28"/>
        </w:rPr>
        <w:t>+</w:t>
      </w:r>
      <w:r>
        <w:rPr>
          <w:rFonts w:ascii="宋体" w:eastAsia="宋体" w:hAnsi="宋体" w:cs="宋体" w:hint="eastAsia"/>
          <w:color w:val="auto"/>
          <w:sz w:val="28"/>
          <w:szCs w:val="28"/>
        </w:rPr>
        <w:t>方向必</w:t>
      </w:r>
      <w:r>
        <w:rPr>
          <w:rFonts w:ascii="宋体" w:eastAsia="宋体" w:hAnsi="宋体" w:cs="宋体" w:hint="eastAsia"/>
          <w:color w:val="auto"/>
          <w:sz w:val="28"/>
          <w:szCs w:val="28"/>
        </w:rPr>
        <w:t>选模块”课程体系，优化其相互支撑关系。</w:t>
      </w:r>
    </w:p>
    <w:p w14:paraId="61D44D96" w14:textId="77777777" w:rsidR="00D33EF8" w:rsidRDefault="003B67E7">
      <w:pPr>
        <w:pStyle w:val="Default"/>
        <w:ind w:firstLineChars="250" w:firstLine="700"/>
        <w:rPr>
          <w:rFonts w:ascii="宋体" w:eastAsia="宋体" w:hAnsi="宋体"/>
          <w:sz w:val="28"/>
        </w:rPr>
      </w:pPr>
      <w:r>
        <w:rPr>
          <w:rFonts w:ascii="宋体" w:eastAsia="宋体" w:hAnsi="宋体" w:cs="宋体"/>
          <w:color w:val="auto"/>
          <w:sz w:val="28"/>
          <w:szCs w:val="28"/>
        </w:rPr>
        <w:t>2021</w:t>
      </w:r>
      <w:r>
        <w:rPr>
          <w:rFonts w:ascii="宋体" w:eastAsia="宋体" w:hAnsi="宋体" w:cs="宋体" w:hint="eastAsia"/>
          <w:color w:val="auto"/>
          <w:sz w:val="28"/>
          <w:szCs w:val="28"/>
        </w:rPr>
        <w:t>年，根据我国当前的发展需求新开设“乡村整全生态设计原理与实践”课程，并对</w:t>
      </w:r>
      <w:r>
        <w:rPr>
          <w:rFonts w:ascii="宋体" w:eastAsia="宋体" w:hAnsi="宋体" w:cs="宋体" w:hint="eastAsia"/>
          <w:color w:val="auto"/>
          <w:sz w:val="28"/>
          <w:szCs w:val="28"/>
        </w:rPr>
        <w:t>2020</w:t>
      </w:r>
      <w:r>
        <w:rPr>
          <w:rFonts w:ascii="宋体" w:eastAsia="宋体" w:hAnsi="宋体" w:cs="宋体" w:hint="eastAsia"/>
          <w:color w:val="auto"/>
          <w:sz w:val="28"/>
          <w:szCs w:val="28"/>
        </w:rPr>
        <w:t>年新开设的“研究生论文写作指导”课程进行了内容及其授课方式调整。广泛开展课程思政公开课、在线课堂、课程思政示范课建设项目，不断改进研究生课程教学。</w:t>
      </w:r>
      <w:r>
        <w:rPr>
          <w:rFonts w:ascii="宋体" w:eastAsia="宋体" w:hAnsi="宋体"/>
          <w:sz w:val="28"/>
        </w:rPr>
        <w:t>2021</w:t>
      </w:r>
      <w:r>
        <w:rPr>
          <w:rFonts w:ascii="宋体" w:eastAsia="宋体" w:hAnsi="宋体"/>
          <w:sz w:val="28"/>
        </w:rPr>
        <w:t>年，《</w:t>
      </w:r>
      <w:r>
        <w:rPr>
          <w:rFonts w:ascii="宋体" w:eastAsia="宋体" w:hAnsi="宋体" w:hint="eastAsia"/>
          <w:sz w:val="28"/>
        </w:rPr>
        <w:t>建筑学研究方法</w:t>
      </w:r>
      <w:r>
        <w:rPr>
          <w:rFonts w:ascii="宋体" w:eastAsia="宋体" w:hAnsi="宋体"/>
          <w:sz w:val="28"/>
        </w:rPr>
        <w:t>》</w:t>
      </w:r>
      <w:r>
        <w:rPr>
          <w:rFonts w:ascii="宋体" w:eastAsia="宋体" w:hAnsi="宋体" w:hint="eastAsia"/>
          <w:sz w:val="28"/>
        </w:rPr>
        <w:t>获批校级</w:t>
      </w:r>
      <w:r>
        <w:rPr>
          <w:rFonts w:ascii="宋体" w:eastAsia="宋体" w:hAnsi="宋体"/>
          <w:sz w:val="28"/>
        </w:rPr>
        <w:t>研究生课程思政示范课建设立项</w:t>
      </w:r>
      <w:r>
        <w:rPr>
          <w:rFonts w:ascii="宋体" w:eastAsia="宋体" w:hAnsi="宋体" w:hint="eastAsia"/>
          <w:sz w:val="28"/>
        </w:rPr>
        <w:t>。“基于研究性思维以实际应用为导向的研究生建筑设计课程探索”获校研究生教学成果三等奖。</w:t>
      </w:r>
    </w:p>
    <w:p w14:paraId="28B14E3B" w14:textId="77777777" w:rsidR="00D33EF8" w:rsidRDefault="003B67E7">
      <w:pPr>
        <w:pStyle w:val="3"/>
      </w:pPr>
      <w:r>
        <w:rPr>
          <w:rFonts w:hint="eastAsia"/>
        </w:rPr>
        <w:t>3</w:t>
      </w:r>
      <w:r>
        <w:t>.4</w:t>
      </w:r>
      <w:r>
        <w:t>导师指导</w:t>
      </w:r>
    </w:p>
    <w:p w14:paraId="35130600" w14:textId="77777777" w:rsidR="00D33EF8" w:rsidRPr="006A2595" w:rsidRDefault="003B67E7">
      <w:pPr>
        <w:pStyle w:val="Default"/>
        <w:ind w:firstLineChars="200" w:firstLine="560"/>
        <w:rPr>
          <w:rFonts w:ascii="宋体" w:eastAsia="宋体" w:hAnsi="宋体" w:cs="宋体"/>
          <w:color w:val="FF0000"/>
          <w:sz w:val="28"/>
          <w:szCs w:val="28"/>
        </w:rPr>
      </w:pPr>
      <w:r>
        <w:rPr>
          <w:rFonts w:ascii="宋体" w:eastAsia="宋体" w:hAnsi="宋体" w:cs="宋体" w:hint="eastAsia"/>
          <w:color w:val="auto"/>
          <w:sz w:val="28"/>
          <w:szCs w:val="28"/>
        </w:rPr>
        <w:t>本学位点在导师选拔中严格遵守天津城建大学的相关规定，注重选拔培养德才兼备、专业能力强、实践经验丰富的教师作为学位点导师。为提高新增导师的教学能力，学院安排新增导师与经验丰富的导师联合指导</w:t>
      </w:r>
      <w:r w:rsidRPr="007151C2">
        <w:rPr>
          <w:rFonts w:ascii="宋体" w:eastAsia="宋体" w:hAnsi="宋体" w:cs="宋体" w:hint="eastAsia"/>
          <w:color w:val="auto"/>
          <w:sz w:val="28"/>
          <w:szCs w:val="28"/>
        </w:rPr>
        <w:t>硕士生，至完成一个完整的培养过程后新增导师才具有独立招生资格。依照“天津城建大学硕士研究生指导教师管理办法”和“建筑学院校级研究生指导教师团队管理实施细则”，</w:t>
      </w:r>
      <w:r w:rsidRPr="007151C2">
        <w:rPr>
          <w:rFonts w:ascii="宋体" w:eastAsia="宋体" w:hAnsi="宋体" w:cs="宋体" w:hint="eastAsia"/>
          <w:color w:val="auto"/>
          <w:sz w:val="28"/>
          <w:szCs w:val="28"/>
        </w:rPr>
        <w:t>2</w:t>
      </w:r>
      <w:r w:rsidRPr="007151C2">
        <w:rPr>
          <w:rFonts w:ascii="宋体" w:eastAsia="宋体" w:hAnsi="宋体" w:cs="宋体"/>
          <w:color w:val="auto"/>
          <w:sz w:val="28"/>
          <w:szCs w:val="28"/>
        </w:rPr>
        <w:t>021</w:t>
      </w:r>
      <w:r w:rsidRPr="007151C2">
        <w:rPr>
          <w:rFonts w:ascii="宋体" w:eastAsia="宋体" w:hAnsi="宋体" w:cs="宋体" w:hint="eastAsia"/>
          <w:color w:val="auto"/>
          <w:sz w:val="28"/>
          <w:szCs w:val="28"/>
        </w:rPr>
        <w:t>年本学位点新增导师</w:t>
      </w:r>
      <w:r w:rsidRPr="007151C2">
        <w:rPr>
          <w:rFonts w:ascii="宋体" w:eastAsia="宋体" w:hAnsi="宋体" w:cs="宋体" w:hint="eastAsia"/>
          <w:color w:val="auto"/>
          <w:sz w:val="28"/>
          <w:szCs w:val="28"/>
        </w:rPr>
        <w:t>2</w:t>
      </w:r>
      <w:r w:rsidRPr="007151C2">
        <w:rPr>
          <w:rFonts w:ascii="宋体" w:eastAsia="宋体" w:hAnsi="宋体" w:cs="宋体" w:hint="eastAsia"/>
          <w:color w:val="auto"/>
          <w:sz w:val="28"/>
          <w:szCs w:val="28"/>
        </w:rPr>
        <w:t>名，新增指导教师团队</w:t>
      </w:r>
      <w:r w:rsidRPr="007151C2">
        <w:rPr>
          <w:rFonts w:ascii="宋体" w:eastAsia="宋体" w:hAnsi="宋体" w:cs="宋体"/>
          <w:color w:val="auto"/>
          <w:sz w:val="28"/>
          <w:szCs w:val="28"/>
        </w:rPr>
        <w:t>7</w:t>
      </w:r>
      <w:r w:rsidRPr="007151C2">
        <w:rPr>
          <w:rFonts w:ascii="宋体" w:eastAsia="宋体" w:hAnsi="宋体" w:cs="宋体" w:hint="eastAsia"/>
          <w:color w:val="auto"/>
          <w:sz w:val="28"/>
          <w:szCs w:val="28"/>
        </w:rPr>
        <w:t>个，</w:t>
      </w:r>
      <w:r w:rsidRPr="007151C2">
        <w:rPr>
          <w:rFonts w:ascii="宋体" w:eastAsia="宋体" w:hAnsi="宋体" w:cs="宋体" w:hint="eastAsia"/>
          <w:color w:val="auto"/>
          <w:sz w:val="28"/>
          <w:szCs w:val="28"/>
        </w:rPr>
        <w:t>1</w:t>
      </w:r>
      <w:r w:rsidRPr="007151C2">
        <w:rPr>
          <w:rFonts w:ascii="宋体" w:eastAsia="宋体" w:hAnsi="宋体" w:cs="宋体" w:hint="eastAsia"/>
          <w:color w:val="auto"/>
          <w:sz w:val="28"/>
          <w:szCs w:val="28"/>
        </w:rPr>
        <w:t>个指导教师团队进行了人员调整。同时，原有</w:t>
      </w:r>
      <w:r w:rsidRPr="007151C2">
        <w:rPr>
          <w:rFonts w:ascii="宋体" w:eastAsia="宋体" w:hAnsi="宋体" w:cs="宋体" w:hint="eastAsia"/>
          <w:color w:val="auto"/>
          <w:sz w:val="28"/>
          <w:szCs w:val="28"/>
        </w:rPr>
        <w:t>1</w:t>
      </w:r>
      <w:r w:rsidRPr="007151C2">
        <w:rPr>
          <w:rFonts w:ascii="宋体" w:eastAsia="宋体" w:hAnsi="宋体" w:cs="宋体" w:hint="eastAsia"/>
          <w:color w:val="auto"/>
          <w:sz w:val="28"/>
          <w:szCs w:val="28"/>
        </w:rPr>
        <w:t>名中级职称导师晋升高级职称，导师队伍结构得到了显著优化，增强了研究生的培养力量。</w:t>
      </w:r>
    </w:p>
    <w:p w14:paraId="35D9FC4D" w14:textId="7EE290DA"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为进一步提升导师水平和培养质量，</w:t>
      </w: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年校研究生处对导师进行了研究生信息管理系统高效使用、立德树人提高研究生培养质</w:t>
      </w:r>
      <w:r>
        <w:rPr>
          <w:rFonts w:ascii="宋体" w:eastAsia="宋体" w:hAnsi="宋体" w:cs="宋体" w:hint="eastAsia"/>
          <w:color w:val="auto"/>
          <w:sz w:val="28"/>
          <w:szCs w:val="28"/>
        </w:rPr>
        <w:lastRenderedPageBreak/>
        <w:t>量等系统培训。同时，解决当前培养过程中存在的实际问题，全面落实研究生分类培养要求，学院在组织对相关文件进行学习的基础上，邀请天津大学建筑学院专家做了题为“关于建筑学专业学位研究生培养的教学探索”的讲座，对天津大学学术学位研究生及专业学位研究生的分类培养经验做了详细介</w:t>
      </w:r>
      <w:r>
        <w:rPr>
          <w:rFonts w:ascii="宋体" w:eastAsia="宋体" w:hAnsi="宋体" w:cs="宋体" w:hint="eastAsia"/>
          <w:color w:val="auto"/>
          <w:sz w:val="28"/>
          <w:szCs w:val="28"/>
        </w:rPr>
        <w:t>绍。</w:t>
      </w:r>
    </w:p>
    <w:p w14:paraId="06B0E8B3" w14:textId="69DD3CB2" w:rsidR="00D33EF8" w:rsidRDefault="003B67E7">
      <w:pPr>
        <w:pStyle w:val="3"/>
      </w:pPr>
      <w:r>
        <w:rPr>
          <w:rFonts w:hint="eastAsia"/>
        </w:rPr>
        <w:t>3</w:t>
      </w:r>
      <w:r>
        <w:t>.5</w:t>
      </w:r>
      <w:r>
        <w:t>学术训练</w:t>
      </w:r>
    </w:p>
    <w:p w14:paraId="4BDBBC85" w14:textId="77777777" w:rsidR="00D33EF8" w:rsidRDefault="003B67E7">
      <w:pPr>
        <w:pStyle w:val="4"/>
        <w:ind w:left="560"/>
      </w:pPr>
      <w:r>
        <w:rPr>
          <w:rFonts w:hint="eastAsia"/>
        </w:rPr>
        <w:t>（</w:t>
      </w:r>
      <w:r>
        <w:rPr>
          <w:rFonts w:hint="eastAsia"/>
        </w:rPr>
        <w:t>1</w:t>
      </w:r>
      <w:r>
        <w:rPr>
          <w:rFonts w:hint="eastAsia"/>
        </w:rPr>
        <w:t>）完善学生科研能力培养</w:t>
      </w:r>
    </w:p>
    <w:p w14:paraId="47DC1B93" w14:textId="11B82378" w:rsidR="00D33EF8" w:rsidRDefault="003B67E7">
      <w:pPr>
        <w:pStyle w:val="Default"/>
        <w:ind w:firstLineChars="200" w:firstLine="560"/>
      </w:pPr>
      <w:r>
        <w:rPr>
          <w:rFonts w:ascii="宋体" w:eastAsia="宋体" w:hAnsi="宋体" w:cs="宋体" w:hint="eastAsia"/>
          <w:color w:val="auto"/>
          <w:sz w:val="28"/>
          <w:szCs w:val="28"/>
        </w:rPr>
        <w:t>本学位点紧密结合国家经济社会发展需求，以创新型人才培养为指引，强化学生系统科研训练。以科研平台为依托，结合导师的横向及纵向科研项目，每位学生的科研能力及解决实际问题的能力都有了较大提升。</w:t>
      </w:r>
      <w:r>
        <w:rPr>
          <w:rFonts w:ascii="宋体" w:eastAsia="宋体" w:hAnsi="宋体" w:cs="宋体" w:hint="eastAsia"/>
          <w:color w:val="auto"/>
          <w:sz w:val="28"/>
          <w:szCs w:val="28"/>
        </w:rPr>
        <w:t>2021</w:t>
      </w:r>
      <w:r>
        <w:rPr>
          <w:rFonts w:ascii="宋体" w:eastAsia="宋体" w:hAnsi="宋体" w:cs="宋体" w:hint="eastAsia"/>
          <w:color w:val="auto"/>
          <w:sz w:val="28"/>
          <w:szCs w:val="28"/>
        </w:rPr>
        <w:t>年学位点获批天津市科普基地——“天津城建大学建筑减碳基地”，为学生的科研能力培养创造了新的条件。</w:t>
      </w:r>
    </w:p>
    <w:p w14:paraId="621AA766" w14:textId="77777777" w:rsidR="00D33EF8" w:rsidRDefault="003B67E7">
      <w:pPr>
        <w:pStyle w:val="4"/>
        <w:ind w:left="560"/>
      </w:pPr>
      <w:r>
        <w:rPr>
          <w:rFonts w:hint="eastAsia"/>
        </w:rPr>
        <w:t>（</w:t>
      </w:r>
      <w:r>
        <w:rPr>
          <w:rFonts w:hint="eastAsia"/>
        </w:rPr>
        <w:t>2</w:t>
      </w:r>
      <w:r>
        <w:rPr>
          <w:rFonts w:hint="eastAsia"/>
        </w:rPr>
        <w:t>）积极组织学生参加各类竞赛</w:t>
      </w:r>
    </w:p>
    <w:p w14:paraId="3394DB75" w14:textId="5B51CAA5" w:rsidR="00D33EF8" w:rsidRDefault="003B67E7">
      <w:pPr>
        <w:pStyle w:val="Default"/>
        <w:ind w:firstLineChars="250" w:firstLine="700"/>
        <w:rPr>
          <w:rFonts w:ascii="宋体" w:eastAsia="宋体" w:hAnsi="宋体" w:cs="宋体"/>
          <w:color w:val="auto"/>
          <w:sz w:val="28"/>
          <w:szCs w:val="28"/>
          <w:highlight w:val="green"/>
        </w:rPr>
      </w:pPr>
      <w:r>
        <w:rPr>
          <w:rFonts w:ascii="宋体" w:eastAsia="宋体" w:hAnsi="宋体" w:cs="宋体" w:hint="eastAsia"/>
          <w:color w:val="auto"/>
          <w:sz w:val="28"/>
          <w:szCs w:val="28"/>
        </w:rPr>
        <w:t>2</w:t>
      </w:r>
      <w:r>
        <w:rPr>
          <w:rFonts w:ascii="宋体" w:eastAsia="宋体" w:hAnsi="宋体" w:cs="宋体"/>
          <w:color w:val="auto"/>
          <w:sz w:val="28"/>
          <w:szCs w:val="28"/>
        </w:rPr>
        <w:t>021</w:t>
      </w:r>
      <w:r>
        <w:rPr>
          <w:rFonts w:ascii="宋体" w:eastAsia="宋体" w:hAnsi="宋体" w:cs="宋体" w:hint="eastAsia"/>
          <w:color w:val="auto"/>
          <w:sz w:val="28"/>
          <w:szCs w:val="28"/>
        </w:rPr>
        <w:t>年修订《建筑学院硕士研究生学位授予学术成果要求》后，学生参与各类竞赛的积极性得到了进一步增长。结合设计课程，本学位点积极组织学生参</w:t>
      </w:r>
      <w:r>
        <w:rPr>
          <w:rFonts w:ascii="宋体" w:eastAsia="宋体" w:hAnsi="宋体" w:cs="宋体" w:hint="eastAsia"/>
          <w:color w:val="auto"/>
          <w:sz w:val="28"/>
          <w:szCs w:val="28"/>
        </w:rPr>
        <w:t>加各类建筑设计竞赛，</w:t>
      </w: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1</w:t>
      </w:r>
      <w:r>
        <w:rPr>
          <w:rFonts w:ascii="宋体" w:eastAsia="宋体" w:hAnsi="宋体" w:cs="宋体" w:hint="eastAsia"/>
          <w:color w:val="auto"/>
          <w:sz w:val="28"/>
          <w:szCs w:val="28"/>
        </w:rPr>
        <w:t>年总计参与各项设计竞赛</w:t>
      </w:r>
      <w:r>
        <w:rPr>
          <w:rFonts w:ascii="宋体" w:eastAsia="宋体" w:hAnsi="宋体" w:cs="宋体"/>
          <w:color w:val="auto"/>
          <w:sz w:val="28"/>
          <w:szCs w:val="28"/>
        </w:rPr>
        <w:t>10</w:t>
      </w:r>
      <w:r>
        <w:rPr>
          <w:rFonts w:ascii="宋体" w:eastAsia="宋体" w:hAnsi="宋体" w:cs="宋体" w:hint="eastAsia"/>
          <w:color w:val="auto"/>
          <w:sz w:val="28"/>
          <w:szCs w:val="28"/>
        </w:rPr>
        <w:t>余人次，并在“一带一路”建筑类大学国际联盟组织大学生建筑结构设计竞赛中获优秀奖。</w:t>
      </w:r>
      <w:r>
        <w:rPr>
          <w:rFonts w:ascii="宋体" w:eastAsia="宋体" w:hAnsi="宋体" w:cs="宋体" w:hint="eastAsia"/>
          <w:color w:val="auto"/>
          <w:sz w:val="28"/>
          <w:szCs w:val="28"/>
        </w:rPr>
        <w:t>1</w:t>
      </w:r>
      <w:r>
        <w:rPr>
          <w:rFonts w:ascii="宋体" w:eastAsia="宋体" w:hAnsi="宋体" w:cs="宋体" w:hint="eastAsia"/>
          <w:color w:val="auto"/>
          <w:sz w:val="28"/>
          <w:szCs w:val="28"/>
        </w:rPr>
        <w:t>支跨年级团队以“新型低频隔声窗为你的世界静音”为作品，在第七届中国国际“互联网</w:t>
      </w:r>
      <w:r>
        <w:rPr>
          <w:rFonts w:ascii="宋体" w:eastAsia="宋体" w:hAnsi="宋体" w:cs="宋体" w:hint="eastAsia"/>
          <w:color w:val="auto"/>
          <w:sz w:val="28"/>
          <w:szCs w:val="28"/>
        </w:rPr>
        <w:t>+</w:t>
      </w:r>
      <w:r>
        <w:rPr>
          <w:rFonts w:ascii="宋体" w:eastAsia="宋体" w:hAnsi="宋体" w:cs="宋体" w:hint="eastAsia"/>
          <w:color w:val="auto"/>
          <w:sz w:val="28"/>
          <w:szCs w:val="28"/>
        </w:rPr>
        <w:t>”大学生创新创业大赛中获天津赛区银奖。</w:t>
      </w:r>
    </w:p>
    <w:p w14:paraId="70B3E474" w14:textId="77777777" w:rsidR="00D33EF8" w:rsidRDefault="003B67E7">
      <w:pPr>
        <w:pStyle w:val="3"/>
      </w:pPr>
      <w:r>
        <w:rPr>
          <w:rFonts w:hint="eastAsia"/>
        </w:rPr>
        <w:lastRenderedPageBreak/>
        <w:t>3</w:t>
      </w:r>
      <w:r>
        <w:t>.6</w:t>
      </w:r>
      <w:r>
        <w:t>学术交流</w:t>
      </w:r>
    </w:p>
    <w:p w14:paraId="405024E3" w14:textId="77777777" w:rsidR="00D33EF8" w:rsidRDefault="003B67E7">
      <w:pPr>
        <w:pStyle w:val="Default"/>
        <w:ind w:firstLineChars="200" w:firstLine="560"/>
        <w:rPr>
          <w:rFonts w:ascii="宋体" w:eastAsia="宋体" w:hAnsi="宋体" w:cs="宋体"/>
          <w:color w:val="auto"/>
          <w:sz w:val="28"/>
          <w:szCs w:val="28"/>
        </w:rPr>
      </w:pPr>
      <w:r>
        <w:rPr>
          <w:rFonts w:ascii="Calibri" w:eastAsia="宋体" w:hint="eastAsia"/>
          <w:color w:val="auto"/>
          <w:kern w:val="2"/>
          <w:sz w:val="28"/>
          <w:szCs w:val="28"/>
        </w:rPr>
        <w:t>每年邀请国内外专家学者、本领域及行业内的专家来我院进行学术交流，开展学术讲座，不仅极大地开拓了研究生的国际视野，也增强了研究生对本领域学术前沿和相关行业发展现状的认识。同时，</w:t>
      </w:r>
      <w:r>
        <w:rPr>
          <w:rFonts w:eastAsia="宋体"/>
          <w:color w:val="auto"/>
          <w:sz w:val="28"/>
          <w:szCs w:val="28"/>
        </w:rPr>
        <w:t>本学位点积极鼓励和支持研究生参加国内外学术会议，开展对外学术交流</w:t>
      </w:r>
      <w:r w:rsidRPr="005622DA">
        <w:rPr>
          <w:rFonts w:ascii="宋体" w:eastAsia="宋体" w:hAnsi="宋体"/>
          <w:color w:val="auto"/>
          <w:sz w:val="28"/>
          <w:szCs w:val="28"/>
        </w:rPr>
        <w:t>，</w:t>
      </w:r>
      <w:r w:rsidRPr="005622DA">
        <w:rPr>
          <w:rFonts w:ascii="宋体" w:eastAsia="宋体" w:hAnsi="宋体" w:hint="eastAsia"/>
          <w:color w:val="auto"/>
          <w:sz w:val="28"/>
          <w:szCs w:val="28"/>
        </w:rPr>
        <w:t>2021</w:t>
      </w:r>
      <w:r w:rsidRPr="005622DA">
        <w:rPr>
          <w:rFonts w:ascii="宋体" w:eastAsia="宋体" w:hAnsi="宋体" w:hint="eastAsia"/>
          <w:color w:val="auto"/>
          <w:sz w:val="28"/>
          <w:szCs w:val="28"/>
        </w:rPr>
        <w:t>年共有</w:t>
      </w:r>
      <w:r w:rsidRPr="005622DA">
        <w:rPr>
          <w:rFonts w:ascii="宋体" w:eastAsia="宋体" w:hAnsi="宋体" w:hint="eastAsia"/>
          <w:color w:val="auto"/>
          <w:sz w:val="28"/>
          <w:szCs w:val="28"/>
        </w:rPr>
        <w:t>5</w:t>
      </w:r>
      <w:r w:rsidRPr="005622DA">
        <w:rPr>
          <w:rFonts w:ascii="宋体" w:eastAsia="宋体" w:hAnsi="宋体"/>
          <w:color w:val="auto"/>
          <w:sz w:val="28"/>
          <w:szCs w:val="28"/>
        </w:rPr>
        <w:t>4</w:t>
      </w:r>
      <w:r w:rsidRPr="005622DA">
        <w:rPr>
          <w:rFonts w:ascii="宋体" w:eastAsia="宋体" w:hAnsi="宋体" w:hint="eastAsia"/>
          <w:color w:val="auto"/>
          <w:sz w:val="28"/>
          <w:szCs w:val="28"/>
        </w:rPr>
        <w:t>人次参加</w:t>
      </w:r>
      <w:r w:rsidRPr="005622DA">
        <w:rPr>
          <w:rFonts w:ascii="宋体" w:eastAsia="宋体" w:hAnsi="宋体" w:hint="eastAsia"/>
          <w:color w:val="auto"/>
          <w:sz w:val="28"/>
          <w:szCs w:val="28"/>
        </w:rPr>
        <w:t>4</w:t>
      </w:r>
      <w:r w:rsidRPr="005622DA">
        <w:rPr>
          <w:rFonts w:ascii="宋体" w:eastAsia="宋体" w:hAnsi="宋体"/>
          <w:color w:val="auto"/>
          <w:sz w:val="28"/>
          <w:szCs w:val="28"/>
        </w:rPr>
        <w:t>0</w:t>
      </w:r>
      <w:r w:rsidRPr="005622DA">
        <w:rPr>
          <w:rFonts w:ascii="宋体" w:eastAsia="宋体" w:hAnsi="宋体" w:hint="eastAsia"/>
          <w:color w:val="auto"/>
          <w:sz w:val="28"/>
          <w:szCs w:val="28"/>
        </w:rPr>
        <w:t>项国</w:t>
      </w:r>
      <w:r>
        <w:rPr>
          <w:rFonts w:eastAsia="宋体" w:hint="eastAsia"/>
          <w:color w:val="auto"/>
          <w:sz w:val="28"/>
          <w:szCs w:val="28"/>
        </w:rPr>
        <w:t>内国际会议，</w:t>
      </w:r>
      <w:r>
        <w:rPr>
          <w:rFonts w:ascii="宋体" w:eastAsia="宋体" w:hAnsi="宋体" w:cs="宋体"/>
          <w:color w:val="auto"/>
          <w:sz w:val="28"/>
          <w:szCs w:val="28"/>
        </w:rPr>
        <w:t>2</w:t>
      </w:r>
      <w:r>
        <w:rPr>
          <w:rFonts w:ascii="宋体" w:eastAsia="宋体" w:hAnsi="宋体" w:cs="宋体" w:hint="eastAsia"/>
          <w:color w:val="auto"/>
          <w:sz w:val="28"/>
          <w:szCs w:val="28"/>
        </w:rPr>
        <w:t>名学生在会议中做学术报告。</w:t>
      </w:r>
    </w:p>
    <w:p w14:paraId="5DA3DDEC" w14:textId="77777777" w:rsidR="00D33EF8" w:rsidRDefault="003B67E7">
      <w:pPr>
        <w:pStyle w:val="3"/>
      </w:pPr>
      <w:r>
        <w:t>3.7</w:t>
      </w:r>
      <w:r>
        <w:t>论文质量</w:t>
      </w:r>
    </w:p>
    <w:p w14:paraId="72858F2F" w14:textId="77777777" w:rsidR="00D33EF8" w:rsidRDefault="003B67E7">
      <w:pPr>
        <w:spacing w:line="360" w:lineRule="auto"/>
        <w:ind w:firstLineChars="200" w:firstLine="560"/>
        <w:rPr>
          <w:szCs w:val="28"/>
        </w:rPr>
      </w:pPr>
      <w:r>
        <w:rPr>
          <w:szCs w:val="28"/>
        </w:rPr>
        <w:t>本学位点</w:t>
      </w:r>
      <w:r>
        <w:rPr>
          <w:rFonts w:ascii="宋体" w:hAnsi="宋体" w:cs="宋体" w:hint="eastAsia"/>
          <w:szCs w:val="28"/>
        </w:rPr>
        <w:t>强化学位论文的过程管理，不断完善“选题</w:t>
      </w:r>
      <w:r>
        <w:rPr>
          <w:rFonts w:ascii="宋体" w:hAnsi="宋体" w:cs="宋体" w:hint="eastAsia"/>
          <w:szCs w:val="28"/>
        </w:rPr>
        <w:t>-</w:t>
      </w:r>
      <w:r>
        <w:rPr>
          <w:rFonts w:ascii="宋体" w:hAnsi="宋体" w:cs="宋体" w:hint="eastAsia"/>
          <w:szCs w:val="28"/>
        </w:rPr>
        <w:t>开题</w:t>
      </w:r>
      <w:r>
        <w:rPr>
          <w:rFonts w:ascii="宋体" w:hAnsi="宋体" w:cs="宋体" w:hint="eastAsia"/>
          <w:szCs w:val="28"/>
        </w:rPr>
        <w:t>-</w:t>
      </w:r>
      <w:r>
        <w:rPr>
          <w:rFonts w:ascii="宋体" w:hAnsi="宋体" w:cs="宋体" w:hint="eastAsia"/>
          <w:szCs w:val="28"/>
        </w:rPr>
        <w:t>中期考核</w:t>
      </w:r>
      <w:r>
        <w:rPr>
          <w:rFonts w:ascii="宋体" w:hAnsi="宋体" w:cs="宋体" w:hint="eastAsia"/>
          <w:szCs w:val="28"/>
        </w:rPr>
        <w:t>-</w:t>
      </w:r>
      <w:r>
        <w:rPr>
          <w:rFonts w:ascii="宋体" w:hAnsi="宋体" w:cs="宋体" w:hint="eastAsia"/>
          <w:szCs w:val="28"/>
        </w:rPr>
        <w:t>学术不端检测</w:t>
      </w:r>
      <w:r>
        <w:rPr>
          <w:rFonts w:ascii="宋体" w:hAnsi="宋体" w:cs="宋体" w:hint="eastAsia"/>
          <w:szCs w:val="28"/>
        </w:rPr>
        <w:t>-</w:t>
      </w:r>
      <w:r>
        <w:rPr>
          <w:rFonts w:ascii="宋体" w:hAnsi="宋体" w:cs="宋体" w:hint="eastAsia"/>
          <w:szCs w:val="28"/>
        </w:rPr>
        <w:t>预答辩</w:t>
      </w:r>
      <w:r>
        <w:rPr>
          <w:rFonts w:ascii="宋体" w:hAnsi="宋体" w:cs="宋体" w:hint="eastAsia"/>
          <w:szCs w:val="28"/>
        </w:rPr>
        <w:t>-</w:t>
      </w:r>
      <w:r>
        <w:rPr>
          <w:rFonts w:ascii="宋体" w:hAnsi="宋体" w:cs="宋体" w:hint="eastAsia"/>
          <w:szCs w:val="28"/>
        </w:rPr>
        <w:t>答辩”全流程动态监控体系；坚决落实论文质量管理奖惩</w:t>
      </w:r>
      <w:r>
        <w:rPr>
          <w:rFonts w:hint="eastAsia"/>
          <w:szCs w:val="28"/>
        </w:rPr>
        <w:t>制度；实行学位论文</w:t>
      </w:r>
      <w:r>
        <w:rPr>
          <w:rFonts w:hint="eastAsia"/>
          <w:szCs w:val="28"/>
        </w:rPr>
        <w:t>1</w:t>
      </w:r>
      <w:r>
        <w:rPr>
          <w:szCs w:val="28"/>
        </w:rPr>
        <w:t>00%</w:t>
      </w:r>
      <w:r>
        <w:rPr>
          <w:rFonts w:hint="eastAsia"/>
          <w:szCs w:val="28"/>
        </w:rPr>
        <w:t>校级匿名评阅制度，</w:t>
      </w:r>
      <w:r>
        <w:rPr>
          <w:rFonts w:ascii="宋体" w:hAnsi="宋体" w:hint="eastAsia"/>
        </w:rPr>
        <w:t>严把学术关口，加强研究生的过程培养规范，提升研究生培养质量。</w:t>
      </w:r>
    </w:p>
    <w:p w14:paraId="08D2DFDC" w14:textId="77777777" w:rsidR="00D33EF8" w:rsidRDefault="003B67E7">
      <w:pPr>
        <w:pStyle w:val="3"/>
      </w:pPr>
      <w:r>
        <w:t>3.8</w:t>
      </w:r>
      <w:r>
        <w:t>质量保证</w:t>
      </w:r>
    </w:p>
    <w:p w14:paraId="1CE2B00C"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color w:val="auto"/>
          <w:sz w:val="28"/>
          <w:szCs w:val="28"/>
        </w:rPr>
        <w:t>在课程设计、实习实践、毕业答辩等多个教学环节与国</w:t>
      </w:r>
      <w:r>
        <w:rPr>
          <w:rFonts w:ascii="宋体" w:eastAsia="宋体" w:hAnsi="宋体" w:cs="宋体" w:hint="eastAsia"/>
          <w:color w:val="auto"/>
          <w:sz w:val="28"/>
          <w:szCs w:val="28"/>
        </w:rPr>
        <w:t>内</w:t>
      </w:r>
      <w:r>
        <w:rPr>
          <w:rFonts w:ascii="宋体" w:eastAsia="宋体" w:hAnsi="宋体" w:cs="宋体"/>
          <w:color w:val="auto"/>
          <w:sz w:val="28"/>
          <w:szCs w:val="28"/>
        </w:rPr>
        <w:t>外相关大学、企业开展合作，提升人才培养水平。</w:t>
      </w:r>
      <w:r>
        <w:rPr>
          <w:rFonts w:ascii="宋体" w:eastAsia="宋体" w:hAnsi="宋体" w:cs="宋体" w:hint="eastAsia"/>
          <w:color w:val="auto"/>
          <w:sz w:val="28"/>
          <w:szCs w:val="28"/>
        </w:rPr>
        <w:t>依据能力培养目标，形成相关课程定性定量相结合、主客观评价相结合的评价</w:t>
      </w:r>
      <w:r>
        <w:rPr>
          <w:rFonts w:ascii="宋体" w:eastAsia="宋体" w:hAnsi="宋体" w:cs="宋体" w:hint="eastAsia"/>
          <w:color w:val="auto"/>
          <w:sz w:val="28"/>
          <w:szCs w:val="28"/>
        </w:rPr>
        <w:t>体系，保证教学质量。</w:t>
      </w:r>
      <w:r>
        <w:rPr>
          <w:rFonts w:ascii="Calibri" w:eastAsia="宋体" w:hint="eastAsia"/>
          <w:color w:val="auto"/>
          <w:kern w:val="2"/>
          <w:sz w:val="28"/>
          <w:szCs w:val="28"/>
        </w:rPr>
        <w:t>不断完善学校、学院二级教学督导体系，围绕课程意识形态、教学内容、教学方法、教学效果等进行监督，强化监督结果的反馈与应用，形成课程质量督导的完整闭环。</w:t>
      </w:r>
    </w:p>
    <w:p w14:paraId="3F888DE2" w14:textId="77777777" w:rsidR="00D33EF8" w:rsidRDefault="003B67E7">
      <w:pPr>
        <w:pStyle w:val="3"/>
      </w:pPr>
      <w:r>
        <w:rPr>
          <w:rFonts w:hint="eastAsia"/>
        </w:rPr>
        <w:lastRenderedPageBreak/>
        <w:t>3</w:t>
      </w:r>
      <w:r>
        <w:t>.9</w:t>
      </w:r>
      <w:r>
        <w:t>学风建设</w:t>
      </w:r>
    </w:p>
    <w:p w14:paraId="74B7E28D" w14:textId="49E20C91" w:rsidR="00D33EF8" w:rsidRDefault="003B67E7">
      <w:pPr>
        <w:pStyle w:val="Default"/>
        <w:ind w:firstLineChars="200" w:firstLine="560"/>
        <w:rPr>
          <w:rFonts w:eastAsia="宋体"/>
          <w:color w:val="auto"/>
          <w:sz w:val="28"/>
          <w:szCs w:val="28"/>
        </w:rPr>
      </w:pPr>
      <w:r>
        <w:rPr>
          <w:rFonts w:eastAsia="宋体"/>
          <w:color w:val="auto"/>
          <w:sz w:val="28"/>
          <w:szCs w:val="28"/>
        </w:rPr>
        <w:t>本学位点组织开展内容丰富、形式多样的研究生教育和实践活动，促进研究生身心健康成长、全面发展。以科学道德和学风建设为主题开展思想政治教育工作，通过</w:t>
      </w:r>
      <w:r w:rsidR="007151C2">
        <w:rPr>
          <w:rFonts w:eastAsia="宋体"/>
          <w:color w:val="auto"/>
          <w:sz w:val="28"/>
          <w:szCs w:val="28"/>
        </w:rPr>
        <w:t>新生入学教育</w:t>
      </w:r>
      <w:r>
        <w:rPr>
          <w:rFonts w:eastAsia="宋体"/>
          <w:color w:val="auto"/>
          <w:sz w:val="28"/>
          <w:szCs w:val="28"/>
        </w:rPr>
        <w:t>等加强学术道德教育。积极组织开展研究生创新实践活动，努力营造争先创优的良好风气。大力表彰、宣传先进典型，积极发挥他们的激励示范作用，在研究生中营造争先创优的良好的学习研究氛围</w:t>
      </w:r>
      <w:r>
        <w:rPr>
          <w:rFonts w:eastAsia="宋体" w:hint="eastAsia"/>
          <w:color w:val="auto"/>
          <w:sz w:val="28"/>
          <w:szCs w:val="28"/>
        </w:rPr>
        <w:t>，</w:t>
      </w:r>
      <w:r>
        <w:rPr>
          <w:rFonts w:eastAsia="宋体"/>
          <w:color w:val="auto"/>
          <w:sz w:val="28"/>
          <w:szCs w:val="28"/>
        </w:rPr>
        <w:t>从而形成</w:t>
      </w:r>
      <w:r>
        <w:rPr>
          <w:rFonts w:eastAsia="宋体" w:hint="eastAsia"/>
          <w:color w:val="auto"/>
          <w:sz w:val="28"/>
          <w:szCs w:val="28"/>
        </w:rPr>
        <w:t>学而不厌，勤于钻研，为学必真，求知探源的良好学风。</w:t>
      </w:r>
    </w:p>
    <w:p w14:paraId="4D7B380D" w14:textId="77777777" w:rsidR="00D33EF8" w:rsidRDefault="003B67E7">
      <w:pPr>
        <w:pStyle w:val="3"/>
        <w:rPr>
          <w:rFonts w:cs="Arial"/>
          <w:color w:val="000000"/>
          <w:kern w:val="0"/>
          <w:szCs w:val="28"/>
        </w:rPr>
      </w:pPr>
      <w:r>
        <w:rPr>
          <w:rStyle w:val="30"/>
          <w:rFonts w:hint="eastAsia"/>
          <w:b/>
        </w:rPr>
        <w:t>3</w:t>
      </w:r>
      <w:r>
        <w:rPr>
          <w:rStyle w:val="30"/>
          <w:b/>
        </w:rPr>
        <w:t>.10</w:t>
      </w:r>
      <w:r>
        <w:rPr>
          <w:rStyle w:val="30"/>
          <w:rFonts w:hint="eastAsia"/>
          <w:b/>
        </w:rPr>
        <w:t>管理服务</w:t>
      </w:r>
    </w:p>
    <w:p w14:paraId="0B223C3E" w14:textId="77777777" w:rsidR="00D33EF8" w:rsidRDefault="003B67E7">
      <w:pPr>
        <w:spacing w:line="324" w:lineRule="auto"/>
        <w:ind w:firstLineChars="200" w:firstLine="560"/>
        <w:rPr>
          <w:rFonts w:ascii="宋体" w:hAnsi="宋体"/>
        </w:rPr>
      </w:pPr>
      <w:r>
        <w:rPr>
          <w:rFonts w:ascii="宋体" w:hAnsi="宋体" w:hint="eastAsia"/>
        </w:rPr>
        <w:t>学校根据国家一系列法律法规，制定研究生管理制度，保证培养质量，明确界定权利与义务，在制度上尊重和保障研究生的各项权益，从而保障其自由全面的发展。通过加强师生制度化意识，完善研究生权益保障管理制度，促进研究生权益保障制度化体系的进一步完善。</w:t>
      </w:r>
    </w:p>
    <w:p w14:paraId="3B6DD11E" w14:textId="77777777" w:rsidR="00D33EF8" w:rsidRDefault="003B67E7">
      <w:pPr>
        <w:pStyle w:val="4"/>
        <w:ind w:left="560"/>
      </w:pPr>
      <w:r>
        <w:rPr>
          <w:rFonts w:hint="eastAsia"/>
        </w:rPr>
        <w:t>（</w:t>
      </w:r>
      <w:r>
        <w:rPr>
          <w:rFonts w:hint="eastAsia"/>
        </w:rPr>
        <w:t>1</w:t>
      </w:r>
      <w:r>
        <w:rPr>
          <w:rFonts w:hint="eastAsia"/>
        </w:rPr>
        <w:t>）加强学生支部</w:t>
      </w:r>
      <w:r>
        <w:rPr>
          <w:rFonts w:hint="eastAsia"/>
        </w:rPr>
        <w:t>建设</w:t>
      </w:r>
    </w:p>
    <w:p w14:paraId="7EFC4762" w14:textId="1960EB07" w:rsidR="00D33EF8" w:rsidRDefault="003B67E7">
      <w:pPr>
        <w:spacing w:line="324" w:lineRule="auto"/>
        <w:ind w:firstLineChars="200" w:firstLine="560"/>
        <w:rPr>
          <w:rFonts w:ascii="宋体" w:hAnsi="宋体"/>
        </w:rPr>
      </w:pPr>
      <w:r>
        <w:rPr>
          <w:rFonts w:ascii="宋体" w:hAnsi="宋体" w:hint="eastAsia"/>
        </w:rPr>
        <w:t>本学位点现有研究生党员</w:t>
      </w:r>
      <w:r>
        <w:rPr>
          <w:rFonts w:ascii="宋体" w:hAnsi="宋体" w:hint="eastAsia"/>
        </w:rPr>
        <w:t>11</w:t>
      </w:r>
      <w:r>
        <w:rPr>
          <w:rFonts w:ascii="宋体" w:hAnsi="宋体" w:hint="eastAsia"/>
        </w:rPr>
        <w:t>名，</w:t>
      </w:r>
      <w:r>
        <w:rPr>
          <w:rFonts w:ascii="宋体" w:hAnsi="宋体" w:hint="eastAsia"/>
        </w:rPr>
        <w:t>2021</w:t>
      </w:r>
      <w:r>
        <w:rPr>
          <w:rFonts w:ascii="宋体" w:hAnsi="宋体" w:hint="eastAsia"/>
        </w:rPr>
        <w:t>年增幅达</w:t>
      </w:r>
      <w:r>
        <w:rPr>
          <w:rFonts w:ascii="宋体" w:hAnsi="宋体"/>
        </w:rPr>
        <w:t>83</w:t>
      </w:r>
      <w:r>
        <w:rPr>
          <w:rFonts w:ascii="宋体" w:hAnsi="宋体" w:hint="eastAsia"/>
        </w:rPr>
        <w:t>%</w:t>
      </w:r>
      <w:r>
        <w:rPr>
          <w:rFonts w:ascii="宋体" w:hAnsi="宋体" w:hint="eastAsia"/>
        </w:rPr>
        <w:t>。党支部建设致力于培育政治文化建设氛围，结合“革命丰碑”展览活动组织开展学生党员多形式的主题教育。并在学生党员中聘任“助理班主任”协助开展对研究生的管理工作。</w:t>
      </w:r>
    </w:p>
    <w:p w14:paraId="2F4B727D" w14:textId="77777777" w:rsidR="00D33EF8" w:rsidRDefault="003B67E7">
      <w:pPr>
        <w:pStyle w:val="4"/>
        <w:ind w:left="560"/>
      </w:pPr>
      <w:r>
        <w:rPr>
          <w:rFonts w:hint="eastAsia"/>
        </w:rPr>
        <w:lastRenderedPageBreak/>
        <w:t>（</w:t>
      </w:r>
      <w:r>
        <w:rPr>
          <w:rFonts w:hint="eastAsia"/>
        </w:rPr>
        <w:t>2</w:t>
      </w:r>
      <w:r>
        <w:rPr>
          <w:rFonts w:hint="eastAsia"/>
        </w:rPr>
        <w:t>）健全日常管理服务体制</w:t>
      </w:r>
    </w:p>
    <w:p w14:paraId="7C73F0DC" w14:textId="2D150CF6" w:rsidR="00D33EF8" w:rsidRDefault="003B67E7">
      <w:pPr>
        <w:spacing w:line="324" w:lineRule="auto"/>
        <w:ind w:firstLineChars="200" w:firstLine="560"/>
        <w:rPr>
          <w:rFonts w:ascii="宋体" w:hAnsi="宋体"/>
        </w:rPr>
      </w:pPr>
      <w:r>
        <w:rPr>
          <w:rFonts w:ascii="宋体" w:hAnsi="宋体" w:hint="eastAsia"/>
        </w:rPr>
        <w:t>健全主管副院长、研究生秘书、研究生教务秘书、系主任、导师</w:t>
      </w:r>
      <w:r w:rsidR="00D34D09">
        <w:rPr>
          <w:rFonts w:ascii="宋体" w:hAnsi="宋体" w:hint="eastAsia"/>
        </w:rPr>
        <w:t>（</w:t>
      </w:r>
      <w:r>
        <w:rPr>
          <w:rFonts w:ascii="宋体" w:hAnsi="宋体" w:hint="eastAsia"/>
        </w:rPr>
        <w:t>导师团队</w:t>
      </w:r>
      <w:r w:rsidR="00D34D09">
        <w:rPr>
          <w:rFonts w:ascii="宋体" w:hAnsi="宋体" w:hint="eastAsia"/>
        </w:rPr>
        <w:t>）</w:t>
      </w:r>
      <w:r>
        <w:rPr>
          <w:rFonts w:ascii="宋体" w:hAnsi="宋体" w:hint="eastAsia"/>
        </w:rPr>
        <w:t>分层负责制，落实以班级为单位配置班主任和专职研究生辅导员的要求，提升整体管理水平，切实做到从需求出发保障研究生权益。</w:t>
      </w:r>
    </w:p>
    <w:p w14:paraId="06EC24C2" w14:textId="77777777" w:rsidR="00D33EF8" w:rsidRDefault="003B67E7">
      <w:pPr>
        <w:pStyle w:val="4"/>
        <w:ind w:left="560"/>
      </w:pPr>
      <w:r>
        <w:rPr>
          <w:rFonts w:hint="eastAsia"/>
        </w:rPr>
        <w:t>（</w:t>
      </w:r>
      <w:r>
        <w:rPr>
          <w:rFonts w:hint="eastAsia"/>
        </w:rPr>
        <w:t>3</w:t>
      </w:r>
      <w:r>
        <w:rPr>
          <w:rFonts w:hint="eastAsia"/>
        </w:rPr>
        <w:t>）完善日常管理服务制度</w:t>
      </w:r>
    </w:p>
    <w:p w14:paraId="2C4ACB45" w14:textId="77777777" w:rsidR="00D33EF8" w:rsidRDefault="003B67E7">
      <w:pPr>
        <w:spacing w:line="324" w:lineRule="auto"/>
        <w:ind w:firstLineChars="200" w:firstLine="560"/>
        <w:rPr>
          <w:rFonts w:ascii="宋体" w:hAnsi="宋体"/>
        </w:rPr>
      </w:pPr>
      <w:r>
        <w:rPr>
          <w:rFonts w:ascii="宋体" w:hAnsi="宋体" w:hint="eastAsia"/>
        </w:rPr>
        <w:t>根据各级工作要求，在学校日常管理体系下，学院制定和完</w:t>
      </w:r>
      <w:r>
        <w:rPr>
          <w:rFonts w:ascii="宋体" w:hAnsi="宋体" w:hint="eastAsia"/>
        </w:rPr>
        <w:t>善各种规章制度及实施细则，并进行及时更新，从而制度化管理体系。</w:t>
      </w:r>
      <w:r>
        <w:rPr>
          <w:rFonts w:ascii="宋体" w:hAnsi="宋体" w:hint="eastAsia"/>
        </w:rPr>
        <w:t>2021</w:t>
      </w:r>
      <w:r>
        <w:rPr>
          <w:rFonts w:ascii="宋体" w:hAnsi="宋体" w:hint="eastAsia"/>
        </w:rPr>
        <w:t>年根据“破五唯”的要求，更新制定了《建筑学院硕士研究生学位授予学术成果要求》。对研究生奖学金评定、助学金发放，贫困生认定、优秀干部评选、考风考纪等涉及学生根本利益的事项，做到事前公开、过程公开和结果公开。</w:t>
      </w:r>
    </w:p>
    <w:p w14:paraId="4C64D0A9" w14:textId="77777777" w:rsidR="00D33EF8" w:rsidRDefault="003B67E7">
      <w:pPr>
        <w:pStyle w:val="4"/>
        <w:ind w:left="560"/>
      </w:pPr>
      <w:r>
        <w:rPr>
          <w:rFonts w:hint="eastAsia"/>
        </w:rPr>
        <w:t>（</w:t>
      </w:r>
      <w:r>
        <w:rPr>
          <w:rFonts w:hint="eastAsia"/>
        </w:rPr>
        <w:t>4</w:t>
      </w:r>
      <w:r>
        <w:rPr>
          <w:rFonts w:hint="eastAsia"/>
        </w:rPr>
        <w:t>）开展多维度满意度调查</w:t>
      </w:r>
    </w:p>
    <w:p w14:paraId="52A5BEE2" w14:textId="77777777" w:rsidR="00D33EF8" w:rsidRDefault="003B67E7">
      <w:pPr>
        <w:spacing w:line="324" w:lineRule="auto"/>
        <w:ind w:firstLineChars="200" w:firstLine="560"/>
        <w:rPr>
          <w:rFonts w:ascii="宋体" w:hAnsi="宋体"/>
        </w:rPr>
      </w:pPr>
      <w:r>
        <w:rPr>
          <w:rFonts w:ascii="宋体" w:hAnsi="宋体" w:hint="eastAsia"/>
        </w:rPr>
        <w:t>由学校组织在校研究生进行整体满意度调查，学院就新开设课程进行专项满意度调查，在此基础上进行学生最喜欢的导师评选，依据相关反馈发现问题并及时进行改进。</w:t>
      </w:r>
    </w:p>
    <w:p w14:paraId="3B98B5A0" w14:textId="77777777" w:rsidR="00D33EF8" w:rsidRDefault="003B67E7">
      <w:pPr>
        <w:pStyle w:val="3"/>
      </w:pPr>
      <w:r>
        <w:rPr>
          <w:rFonts w:hint="eastAsia"/>
        </w:rPr>
        <w:t>3</w:t>
      </w:r>
      <w:r>
        <w:t>.11</w:t>
      </w:r>
      <w:r>
        <w:rPr>
          <w:rFonts w:hint="eastAsia"/>
        </w:rPr>
        <w:t>就业发展</w:t>
      </w:r>
    </w:p>
    <w:p w14:paraId="6C7C8693" w14:textId="77777777" w:rsidR="00D33EF8" w:rsidRDefault="003B67E7">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年，本学位点共毕业</w:t>
      </w:r>
      <w:r>
        <w:rPr>
          <w:rFonts w:ascii="宋体" w:eastAsia="宋体" w:hAnsi="宋体" w:cs="宋体"/>
          <w:color w:val="auto"/>
          <w:sz w:val="28"/>
          <w:szCs w:val="28"/>
        </w:rPr>
        <w:t>7</w:t>
      </w:r>
      <w:r>
        <w:rPr>
          <w:rFonts w:ascii="宋体" w:eastAsia="宋体" w:hAnsi="宋体" w:cs="宋体" w:hint="eastAsia"/>
          <w:color w:val="auto"/>
          <w:sz w:val="28"/>
          <w:szCs w:val="28"/>
        </w:rPr>
        <w:t>人，授予硕士学位</w:t>
      </w:r>
      <w:r>
        <w:rPr>
          <w:rFonts w:ascii="宋体" w:eastAsia="宋体" w:hAnsi="宋体" w:cs="宋体"/>
          <w:color w:val="auto"/>
          <w:sz w:val="28"/>
          <w:szCs w:val="28"/>
        </w:rPr>
        <w:t>7</w:t>
      </w:r>
      <w:r>
        <w:rPr>
          <w:rFonts w:ascii="宋体" w:eastAsia="宋体" w:hAnsi="宋体" w:cs="宋体" w:hint="eastAsia"/>
          <w:color w:val="auto"/>
          <w:sz w:val="28"/>
          <w:szCs w:val="28"/>
        </w:rPr>
        <w:t>人，所有毕业生均授予学位。总体签约率</w:t>
      </w:r>
      <w:r>
        <w:rPr>
          <w:rFonts w:ascii="宋体" w:eastAsia="宋体" w:hAnsi="宋体" w:cs="宋体"/>
          <w:color w:val="auto"/>
          <w:sz w:val="28"/>
          <w:szCs w:val="28"/>
        </w:rPr>
        <w:t>85.7</w:t>
      </w:r>
      <w:r>
        <w:rPr>
          <w:rFonts w:ascii="宋体" w:eastAsia="宋体" w:hAnsi="宋体" w:cs="宋体" w:hint="eastAsia"/>
          <w:color w:val="auto"/>
          <w:sz w:val="28"/>
          <w:szCs w:val="28"/>
        </w:rPr>
        <w:t>%</w:t>
      </w:r>
      <w:r>
        <w:rPr>
          <w:rFonts w:ascii="宋体" w:eastAsia="宋体" w:hAnsi="宋体" w:cs="宋体" w:hint="eastAsia"/>
          <w:color w:val="auto"/>
          <w:sz w:val="28"/>
          <w:szCs w:val="28"/>
        </w:rPr>
        <w:t>，总体就业率为</w:t>
      </w:r>
      <w:r>
        <w:rPr>
          <w:rFonts w:ascii="宋体" w:eastAsia="宋体" w:hAnsi="宋体" w:cs="宋体"/>
          <w:color w:val="auto"/>
          <w:sz w:val="28"/>
          <w:szCs w:val="28"/>
        </w:rPr>
        <w:t>85.7</w:t>
      </w:r>
      <w:r>
        <w:rPr>
          <w:rFonts w:ascii="宋体" w:eastAsia="宋体" w:hAnsi="宋体" w:cs="宋体" w:hint="eastAsia"/>
          <w:color w:val="auto"/>
          <w:sz w:val="28"/>
          <w:szCs w:val="28"/>
        </w:rPr>
        <w:t>%</w:t>
      </w:r>
      <w:r>
        <w:rPr>
          <w:rFonts w:ascii="宋体" w:eastAsia="宋体" w:hAnsi="宋体" w:cs="宋体" w:hint="eastAsia"/>
          <w:color w:val="auto"/>
          <w:sz w:val="28"/>
          <w:szCs w:val="28"/>
        </w:rPr>
        <w:t>。</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年本学</w:t>
      </w:r>
      <w:r>
        <w:rPr>
          <w:rFonts w:ascii="宋体" w:eastAsia="宋体" w:hAnsi="宋体" w:cs="宋体" w:hint="eastAsia"/>
          <w:color w:val="auto"/>
          <w:sz w:val="28"/>
          <w:szCs w:val="28"/>
        </w:rPr>
        <w:lastRenderedPageBreak/>
        <w:t>位点学生就业情况见表</w:t>
      </w:r>
      <w:r>
        <w:rPr>
          <w:rFonts w:ascii="宋体" w:eastAsia="宋体" w:hAnsi="宋体" w:cs="宋体" w:hint="eastAsia"/>
          <w:color w:val="auto"/>
          <w:sz w:val="28"/>
          <w:szCs w:val="28"/>
        </w:rPr>
        <w:t>1</w:t>
      </w:r>
      <w:r>
        <w:rPr>
          <w:rFonts w:ascii="宋体" w:eastAsia="宋体" w:hAnsi="宋体" w:cs="宋体" w:hint="eastAsia"/>
          <w:color w:val="auto"/>
          <w:sz w:val="28"/>
          <w:szCs w:val="28"/>
        </w:rPr>
        <w:t>。</w:t>
      </w:r>
    </w:p>
    <w:p w14:paraId="0043B23D" w14:textId="13BB12DA" w:rsidR="00D33EF8" w:rsidRPr="008437FB" w:rsidRDefault="003B67E7">
      <w:pPr>
        <w:pStyle w:val="Default"/>
        <w:ind w:firstLine="570"/>
        <w:jc w:val="center"/>
        <w:rPr>
          <w:rFonts w:ascii="宋体" w:eastAsia="宋体" w:hAnsi="宋体" w:cs="宋体"/>
          <w:color w:val="auto"/>
          <w:sz w:val="21"/>
          <w:szCs w:val="21"/>
        </w:rPr>
      </w:pPr>
      <w:r w:rsidRPr="008437FB">
        <w:rPr>
          <w:rFonts w:ascii="宋体" w:eastAsia="宋体" w:hAnsi="宋体"/>
          <w:color w:val="auto"/>
          <w:sz w:val="21"/>
          <w:szCs w:val="21"/>
        </w:rPr>
        <w:t>表</w:t>
      </w:r>
      <w:r w:rsidRPr="008437FB">
        <w:rPr>
          <w:rFonts w:ascii="宋体" w:eastAsia="宋体" w:hAnsi="宋体"/>
          <w:color w:val="auto"/>
          <w:sz w:val="21"/>
          <w:szCs w:val="21"/>
        </w:rPr>
        <w:t>1</w:t>
      </w:r>
      <w:r w:rsidRPr="008437FB">
        <w:rPr>
          <w:rFonts w:ascii="宋体" w:eastAsia="宋体" w:hAnsi="宋体"/>
          <w:color w:val="auto"/>
          <w:sz w:val="21"/>
          <w:szCs w:val="21"/>
        </w:rPr>
        <w:t>签约单位类型分布</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672"/>
        <w:gridCol w:w="836"/>
        <w:gridCol w:w="711"/>
        <w:gridCol w:w="730"/>
        <w:gridCol w:w="759"/>
        <w:gridCol w:w="866"/>
        <w:gridCol w:w="633"/>
        <w:gridCol w:w="636"/>
        <w:gridCol w:w="670"/>
        <w:gridCol w:w="427"/>
        <w:gridCol w:w="471"/>
        <w:gridCol w:w="471"/>
      </w:tblGrid>
      <w:tr w:rsidR="00D33EF8" w:rsidRPr="008437FB" w14:paraId="71CF3601" w14:textId="77777777">
        <w:trPr>
          <w:trHeight w:val="437"/>
          <w:jc w:val="center"/>
        </w:trPr>
        <w:tc>
          <w:tcPr>
            <w:tcW w:w="640" w:type="dxa"/>
            <w:tcBorders>
              <w:top w:val="single" w:sz="4" w:space="0" w:color="auto"/>
            </w:tcBorders>
            <w:vAlign w:val="center"/>
          </w:tcPr>
          <w:p w14:paraId="401972F3"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单位</w:t>
            </w:r>
          </w:p>
          <w:p w14:paraId="2B5BB53D"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类别</w:t>
            </w:r>
          </w:p>
        </w:tc>
        <w:tc>
          <w:tcPr>
            <w:tcW w:w="672" w:type="dxa"/>
            <w:tcBorders>
              <w:top w:val="single" w:sz="4" w:space="0" w:color="auto"/>
            </w:tcBorders>
            <w:vAlign w:val="center"/>
          </w:tcPr>
          <w:p w14:paraId="7844A8AB"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党政</w:t>
            </w:r>
          </w:p>
          <w:p w14:paraId="7D079B35"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机关</w:t>
            </w:r>
          </w:p>
        </w:tc>
        <w:tc>
          <w:tcPr>
            <w:tcW w:w="836" w:type="dxa"/>
            <w:tcBorders>
              <w:top w:val="single" w:sz="4" w:space="0" w:color="auto"/>
            </w:tcBorders>
            <w:vAlign w:val="center"/>
          </w:tcPr>
          <w:p w14:paraId="27DA4075"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高等教育单位</w:t>
            </w:r>
          </w:p>
        </w:tc>
        <w:tc>
          <w:tcPr>
            <w:tcW w:w="711" w:type="dxa"/>
            <w:tcBorders>
              <w:top w:val="single" w:sz="4" w:space="0" w:color="auto"/>
            </w:tcBorders>
            <w:vAlign w:val="center"/>
          </w:tcPr>
          <w:p w14:paraId="7AE79A3F"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中初等教育单位</w:t>
            </w:r>
          </w:p>
        </w:tc>
        <w:tc>
          <w:tcPr>
            <w:tcW w:w="730" w:type="dxa"/>
            <w:tcBorders>
              <w:top w:val="single" w:sz="4" w:space="0" w:color="auto"/>
            </w:tcBorders>
            <w:vAlign w:val="center"/>
          </w:tcPr>
          <w:p w14:paraId="2215699C"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科研设计单位</w:t>
            </w:r>
          </w:p>
        </w:tc>
        <w:tc>
          <w:tcPr>
            <w:tcW w:w="759" w:type="dxa"/>
            <w:tcBorders>
              <w:top w:val="single" w:sz="4" w:space="0" w:color="auto"/>
            </w:tcBorders>
            <w:vAlign w:val="center"/>
          </w:tcPr>
          <w:p w14:paraId="2A814FED"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医疗卫生单位</w:t>
            </w:r>
          </w:p>
        </w:tc>
        <w:tc>
          <w:tcPr>
            <w:tcW w:w="866" w:type="dxa"/>
            <w:tcBorders>
              <w:top w:val="single" w:sz="4" w:space="0" w:color="auto"/>
            </w:tcBorders>
            <w:vAlign w:val="center"/>
          </w:tcPr>
          <w:p w14:paraId="3DE41129"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其他事业单位</w:t>
            </w:r>
          </w:p>
        </w:tc>
        <w:tc>
          <w:tcPr>
            <w:tcW w:w="633" w:type="dxa"/>
            <w:tcBorders>
              <w:top w:val="single" w:sz="4" w:space="0" w:color="auto"/>
            </w:tcBorders>
            <w:vAlign w:val="center"/>
          </w:tcPr>
          <w:p w14:paraId="71733878"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国有</w:t>
            </w:r>
          </w:p>
          <w:p w14:paraId="6C4A46FB"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企业</w:t>
            </w:r>
          </w:p>
        </w:tc>
        <w:tc>
          <w:tcPr>
            <w:tcW w:w="636" w:type="dxa"/>
            <w:tcBorders>
              <w:top w:val="single" w:sz="4" w:space="0" w:color="auto"/>
            </w:tcBorders>
            <w:vAlign w:val="center"/>
          </w:tcPr>
          <w:p w14:paraId="789200E5"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民营</w:t>
            </w:r>
          </w:p>
          <w:p w14:paraId="143938D2"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企业</w:t>
            </w:r>
          </w:p>
        </w:tc>
        <w:tc>
          <w:tcPr>
            <w:tcW w:w="670" w:type="dxa"/>
            <w:tcBorders>
              <w:top w:val="single" w:sz="4" w:space="0" w:color="auto"/>
            </w:tcBorders>
            <w:vAlign w:val="center"/>
          </w:tcPr>
          <w:p w14:paraId="72458BDB"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三资</w:t>
            </w:r>
          </w:p>
          <w:p w14:paraId="711339E8"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企业</w:t>
            </w:r>
          </w:p>
        </w:tc>
        <w:tc>
          <w:tcPr>
            <w:tcW w:w="427" w:type="dxa"/>
            <w:tcBorders>
              <w:top w:val="single" w:sz="4" w:space="0" w:color="auto"/>
            </w:tcBorders>
            <w:vAlign w:val="center"/>
          </w:tcPr>
          <w:p w14:paraId="09A1621C"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部队</w:t>
            </w:r>
          </w:p>
        </w:tc>
        <w:tc>
          <w:tcPr>
            <w:tcW w:w="471" w:type="dxa"/>
            <w:tcBorders>
              <w:top w:val="single" w:sz="4" w:space="0" w:color="auto"/>
            </w:tcBorders>
          </w:tcPr>
          <w:p w14:paraId="0F3D8426" w14:textId="77777777" w:rsidR="00D33EF8" w:rsidRPr="008437FB" w:rsidRDefault="00D33EF8">
            <w:pPr>
              <w:spacing w:line="240" w:lineRule="exact"/>
              <w:contextualSpacing/>
              <w:jc w:val="center"/>
              <w:rPr>
                <w:rFonts w:ascii="宋体" w:hAnsi="宋体"/>
                <w:b/>
                <w:bCs/>
                <w:sz w:val="21"/>
                <w:szCs w:val="21"/>
              </w:rPr>
            </w:pPr>
          </w:p>
          <w:p w14:paraId="46034D38"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升学</w:t>
            </w:r>
          </w:p>
        </w:tc>
        <w:tc>
          <w:tcPr>
            <w:tcW w:w="471" w:type="dxa"/>
            <w:tcBorders>
              <w:top w:val="single" w:sz="4" w:space="0" w:color="auto"/>
            </w:tcBorders>
            <w:vAlign w:val="center"/>
          </w:tcPr>
          <w:p w14:paraId="07B625A7" w14:textId="77777777" w:rsidR="00D33EF8" w:rsidRPr="008437FB" w:rsidRDefault="003B67E7">
            <w:pPr>
              <w:spacing w:line="240" w:lineRule="exact"/>
              <w:contextualSpacing/>
              <w:jc w:val="center"/>
              <w:rPr>
                <w:rFonts w:ascii="宋体" w:hAnsi="宋体"/>
                <w:b/>
                <w:bCs/>
                <w:sz w:val="21"/>
                <w:szCs w:val="21"/>
              </w:rPr>
            </w:pPr>
            <w:r w:rsidRPr="008437FB">
              <w:rPr>
                <w:rFonts w:ascii="宋体" w:hAnsi="宋体" w:hint="eastAsia"/>
                <w:b/>
                <w:bCs/>
                <w:sz w:val="21"/>
                <w:szCs w:val="21"/>
              </w:rPr>
              <w:t>其他</w:t>
            </w:r>
          </w:p>
        </w:tc>
      </w:tr>
      <w:tr w:rsidR="00D33EF8" w:rsidRPr="008437FB" w14:paraId="164810CA" w14:textId="77777777">
        <w:trPr>
          <w:trHeight w:val="740"/>
          <w:jc w:val="center"/>
        </w:trPr>
        <w:tc>
          <w:tcPr>
            <w:tcW w:w="640" w:type="dxa"/>
            <w:vAlign w:val="center"/>
          </w:tcPr>
          <w:p w14:paraId="3557C95D"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硕士</w:t>
            </w:r>
          </w:p>
          <w:p w14:paraId="03D4B826"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签约</w:t>
            </w:r>
          </w:p>
        </w:tc>
        <w:tc>
          <w:tcPr>
            <w:tcW w:w="672" w:type="dxa"/>
            <w:vAlign w:val="center"/>
          </w:tcPr>
          <w:p w14:paraId="12A94899"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836" w:type="dxa"/>
            <w:vAlign w:val="center"/>
          </w:tcPr>
          <w:p w14:paraId="0352D14E"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711" w:type="dxa"/>
            <w:vAlign w:val="center"/>
          </w:tcPr>
          <w:p w14:paraId="1B3447E6"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730" w:type="dxa"/>
            <w:vAlign w:val="center"/>
          </w:tcPr>
          <w:p w14:paraId="3FB6FCA0" w14:textId="77777777" w:rsidR="00D33EF8" w:rsidRPr="008437FB" w:rsidRDefault="003B67E7">
            <w:pPr>
              <w:spacing w:line="240" w:lineRule="exact"/>
              <w:contextualSpacing/>
              <w:jc w:val="center"/>
              <w:rPr>
                <w:rFonts w:ascii="宋体" w:hAnsi="宋体"/>
                <w:sz w:val="21"/>
                <w:szCs w:val="21"/>
              </w:rPr>
            </w:pPr>
            <w:r w:rsidRPr="008437FB">
              <w:rPr>
                <w:rFonts w:ascii="宋体" w:hAnsi="宋体"/>
                <w:sz w:val="21"/>
                <w:szCs w:val="21"/>
              </w:rPr>
              <w:t>0</w:t>
            </w:r>
          </w:p>
        </w:tc>
        <w:tc>
          <w:tcPr>
            <w:tcW w:w="759" w:type="dxa"/>
            <w:vAlign w:val="center"/>
          </w:tcPr>
          <w:p w14:paraId="6A066E33"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866" w:type="dxa"/>
            <w:vAlign w:val="center"/>
          </w:tcPr>
          <w:p w14:paraId="13BE7FD5" w14:textId="77777777" w:rsidR="00D33EF8" w:rsidRPr="008437FB" w:rsidRDefault="003B67E7">
            <w:pPr>
              <w:spacing w:line="240" w:lineRule="exact"/>
              <w:contextualSpacing/>
              <w:jc w:val="center"/>
              <w:rPr>
                <w:rFonts w:ascii="宋体" w:hAnsi="宋体"/>
                <w:sz w:val="21"/>
                <w:szCs w:val="21"/>
              </w:rPr>
            </w:pPr>
            <w:r w:rsidRPr="008437FB">
              <w:rPr>
                <w:rFonts w:ascii="宋体" w:hAnsi="宋体"/>
                <w:sz w:val="21"/>
                <w:szCs w:val="21"/>
              </w:rPr>
              <w:t>1</w:t>
            </w:r>
          </w:p>
        </w:tc>
        <w:tc>
          <w:tcPr>
            <w:tcW w:w="633" w:type="dxa"/>
            <w:vAlign w:val="center"/>
          </w:tcPr>
          <w:p w14:paraId="0E3AD809" w14:textId="77777777" w:rsidR="00D33EF8" w:rsidRPr="008437FB" w:rsidRDefault="003B67E7">
            <w:pPr>
              <w:spacing w:line="240" w:lineRule="exact"/>
              <w:contextualSpacing/>
              <w:jc w:val="center"/>
              <w:rPr>
                <w:rFonts w:ascii="宋体" w:hAnsi="宋体"/>
                <w:sz w:val="21"/>
                <w:szCs w:val="21"/>
              </w:rPr>
            </w:pPr>
            <w:r w:rsidRPr="008437FB">
              <w:rPr>
                <w:rFonts w:ascii="宋体" w:hAnsi="宋体"/>
                <w:sz w:val="21"/>
                <w:szCs w:val="21"/>
              </w:rPr>
              <w:t>3</w:t>
            </w:r>
          </w:p>
        </w:tc>
        <w:tc>
          <w:tcPr>
            <w:tcW w:w="636" w:type="dxa"/>
            <w:vAlign w:val="center"/>
          </w:tcPr>
          <w:p w14:paraId="027E99F4" w14:textId="77777777" w:rsidR="00D33EF8" w:rsidRPr="008437FB" w:rsidRDefault="003B67E7">
            <w:pPr>
              <w:spacing w:line="240" w:lineRule="exact"/>
              <w:contextualSpacing/>
              <w:jc w:val="center"/>
              <w:rPr>
                <w:rFonts w:ascii="宋体" w:hAnsi="宋体"/>
                <w:sz w:val="21"/>
                <w:szCs w:val="21"/>
              </w:rPr>
            </w:pPr>
            <w:r w:rsidRPr="008437FB">
              <w:rPr>
                <w:rFonts w:ascii="宋体" w:hAnsi="宋体"/>
                <w:sz w:val="21"/>
                <w:szCs w:val="21"/>
              </w:rPr>
              <w:t>1</w:t>
            </w:r>
          </w:p>
        </w:tc>
        <w:tc>
          <w:tcPr>
            <w:tcW w:w="670" w:type="dxa"/>
            <w:vAlign w:val="center"/>
          </w:tcPr>
          <w:p w14:paraId="4DE4E075"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427" w:type="dxa"/>
            <w:vAlign w:val="center"/>
          </w:tcPr>
          <w:p w14:paraId="6083D8E6"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0</w:t>
            </w:r>
          </w:p>
        </w:tc>
        <w:tc>
          <w:tcPr>
            <w:tcW w:w="471" w:type="dxa"/>
          </w:tcPr>
          <w:p w14:paraId="3D24CBB8" w14:textId="77777777" w:rsidR="00D33EF8" w:rsidRPr="008437FB" w:rsidRDefault="003B67E7">
            <w:pPr>
              <w:pStyle w:val="3"/>
              <w:spacing w:line="240" w:lineRule="exact"/>
              <w:contextualSpacing/>
              <w:jc w:val="center"/>
              <w:rPr>
                <w:b w:val="0"/>
                <w:sz w:val="21"/>
                <w:szCs w:val="21"/>
              </w:rPr>
            </w:pPr>
            <w:r w:rsidRPr="008437FB">
              <w:rPr>
                <w:rFonts w:ascii="宋体" w:hAnsi="宋体" w:hint="eastAsia"/>
                <w:b w:val="0"/>
                <w:sz w:val="21"/>
                <w:szCs w:val="21"/>
              </w:rPr>
              <w:t>0</w:t>
            </w:r>
          </w:p>
        </w:tc>
        <w:tc>
          <w:tcPr>
            <w:tcW w:w="471" w:type="dxa"/>
            <w:vAlign w:val="center"/>
          </w:tcPr>
          <w:p w14:paraId="47A8155B" w14:textId="77777777" w:rsidR="00D33EF8" w:rsidRPr="008437FB" w:rsidRDefault="003B67E7">
            <w:pPr>
              <w:spacing w:line="240" w:lineRule="exact"/>
              <w:contextualSpacing/>
              <w:jc w:val="center"/>
              <w:rPr>
                <w:rFonts w:ascii="宋体" w:hAnsi="宋体"/>
                <w:sz w:val="21"/>
                <w:szCs w:val="21"/>
              </w:rPr>
            </w:pPr>
            <w:r w:rsidRPr="008437FB">
              <w:rPr>
                <w:rFonts w:ascii="宋体" w:hAnsi="宋体" w:hint="eastAsia"/>
                <w:sz w:val="21"/>
                <w:szCs w:val="21"/>
              </w:rPr>
              <w:t>2</w:t>
            </w:r>
          </w:p>
        </w:tc>
      </w:tr>
    </w:tbl>
    <w:p w14:paraId="65B8C8DB" w14:textId="77777777" w:rsidR="00D33EF8" w:rsidRDefault="003B67E7">
      <w:pPr>
        <w:pStyle w:val="2"/>
      </w:pPr>
      <w:r>
        <w:rPr>
          <w:rFonts w:hint="eastAsia"/>
        </w:rPr>
        <w:t>四、服务贡献</w:t>
      </w:r>
    </w:p>
    <w:p w14:paraId="7CFE7197" w14:textId="77777777" w:rsidR="00D33EF8" w:rsidRDefault="003B67E7">
      <w:pPr>
        <w:pStyle w:val="3"/>
      </w:pPr>
      <w:r>
        <w:rPr>
          <w:rFonts w:hint="eastAsia"/>
        </w:rPr>
        <w:t>4</w:t>
      </w:r>
      <w:r>
        <w:t>.1</w:t>
      </w:r>
      <w:r>
        <w:rPr>
          <w:rFonts w:hint="eastAsia"/>
        </w:rPr>
        <w:t>科技进步</w:t>
      </w:r>
    </w:p>
    <w:p w14:paraId="4858AD9C"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年教师在绿色建筑设计与评价、建筑遗产保护与可持续利用、地域文化与公共空间设计创新三个学科方向上发表各类期刊会议论文共计近</w:t>
      </w:r>
      <w:r>
        <w:rPr>
          <w:rFonts w:ascii="宋体" w:eastAsia="宋体" w:hAnsi="宋体" w:cs="宋体" w:hint="eastAsia"/>
          <w:color w:val="auto"/>
          <w:sz w:val="28"/>
          <w:szCs w:val="28"/>
        </w:rPr>
        <w:t>3</w:t>
      </w:r>
      <w:r>
        <w:rPr>
          <w:rFonts w:ascii="宋体" w:eastAsia="宋体" w:hAnsi="宋体" w:cs="宋体"/>
          <w:color w:val="auto"/>
          <w:sz w:val="28"/>
          <w:szCs w:val="28"/>
        </w:rPr>
        <w:t>0</w:t>
      </w:r>
      <w:r>
        <w:rPr>
          <w:rFonts w:ascii="宋体" w:eastAsia="宋体" w:hAnsi="宋体" w:cs="宋体" w:hint="eastAsia"/>
          <w:color w:val="auto"/>
          <w:sz w:val="28"/>
          <w:szCs w:val="28"/>
        </w:rPr>
        <w:t>篇；获批各类纵向及横向科研项目</w:t>
      </w:r>
      <w:r>
        <w:rPr>
          <w:rFonts w:ascii="宋体" w:eastAsia="宋体" w:hAnsi="宋体" w:cs="宋体" w:hint="eastAsia"/>
          <w:color w:val="auto"/>
          <w:sz w:val="28"/>
          <w:szCs w:val="28"/>
        </w:rPr>
        <w:t>30</w:t>
      </w:r>
      <w:r>
        <w:rPr>
          <w:rFonts w:ascii="宋体" w:eastAsia="宋体" w:hAnsi="宋体" w:cs="宋体" w:hint="eastAsia"/>
          <w:color w:val="auto"/>
          <w:sz w:val="28"/>
          <w:szCs w:val="28"/>
        </w:rPr>
        <w:t>余项，</w:t>
      </w:r>
      <w:r>
        <w:rPr>
          <w:rFonts w:ascii="宋体" w:eastAsia="宋体" w:hAnsi="宋体" w:cs="宋体" w:hint="eastAsia"/>
          <w:color w:val="auto"/>
          <w:sz w:val="28"/>
          <w:szCs w:val="28"/>
        </w:rPr>
        <w:t>3</w:t>
      </w:r>
      <w:r>
        <w:rPr>
          <w:rFonts w:ascii="宋体" w:eastAsia="宋体" w:hAnsi="宋体" w:cs="宋体" w:hint="eastAsia"/>
          <w:color w:val="auto"/>
          <w:sz w:val="28"/>
          <w:szCs w:val="28"/>
        </w:rPr>
        <w:t>项研究成果获省部级奖项。</w:t>
      </w:r>
    </w:p>
    <w:p w14:paraId="0D0907FA" w14:textId="77777777" w:rsidR="00D33EF8" w:rsidRDefault="003B67E7">
      <w:pPr>
        <w:pStyle w:val="3"/>
      </w:pPr>
      <w:r>
        <w:rPr>
          <w:rFonts w:hint="eastAsia"/>
        </w:rPr>
        <w:t>4</w:t>
      </w:r>
      <w:r>
        <w:t>.2</w:t>
      </w:r>
      <w:r>
        <w:rPr>
          <w:rFonts w:hint="eastAsia"/>
        </w:rPr>
        <w:t>经济发展</w:t>
      </w:r>
    </w:p>
    <w:p w14:paraId="2E83AE2E" w14:textId="77777777" w:rsidR="00D33EF8" w:rsidRDefault="003B67E7">
      <w:pPr>
        <w:widowControl/>
        <w:shd w:val="clear" w:color="auto" w:fill="FFFFFF"/>
        <w:ind w:firstLineChars="200" w:firstLine="560"/>
        <w:jc w:val="left"/>
        <w:rPr>
          <w:rFonts w:ascii="宋体" w:hAnsi="宋体"/>
        </w:rPr>
      </w:pPr>
      <w:r>
        <w:rPr>
          <w:rFonts w:ascii="宋体" w:hAnsi="宋体" w:hint="eastAsia"/>
        </w:rPr>
        <w:t>202</w:t>
      </w:r>
      <w:r>
        <w:rPr>
          <w:rFonts w:ascii="宋体" w:hAnsi="宋体"/>
        </w:rPr>
        <w:t>1</w:t>
      </w:r>
      <w:r>
        <w:rPr>
          <w:rFonts w:ascii="宋体" w:hAnsi="宋体" w:hint="eastAsia"/>
        </w:rPr>
        <w:t>年，立项横向课题</w:t>
      </w:r>
      <w:r>
        <w:rPr>
          <w:rFonts w:ascii="宋体" w:hAnsi="宋体"/>
        </w:rPr>
        <w:t>2</w:t>
      </w:r>
      <w:r>
        <w:rPr>
          <w:rFonts w:ascii="宋体" w:hAnsi="宋体" w:hint="eastAsia"/>
        </w:rPr>
        <w:t>项，课题经费累计</w:t>
      </w:r>
      <w:r>
        <w:rPr>
          <w:rFonts w:ascii="宋体" w:hAnsi="宋体"/>
        </w:rPr>
        <w:t>54</w:t>
      </w:r>
      <w:r>
        <w:rPr>
          <w:rFonts w:ascii="宋体" w:hAnsi="宋体" w:hint="eastAsia"/>
        </w:rPr>
        <w:t>万余元，助力天津乡村振兴、生态城市、城市更新等领域的建设与发展。</w:t>
      </w:r>
    </w:p>
    <w:p w14:paraId="0CBDE292" w14:textId="77777777" w:rsidR="00D33EF8" w:rsidRDefault="003B67E7">
      <w:pPr>
        <w:pStyle w:val="3"/>
      </w:pPr>
      <w:r>
        <w:rPr>
          <w:rFonts w:hint="eastAsia"/>
        </w:rPr>
        <w:t>4</w:t>
      </w:r>
      <w:r>
        <w:t>.3</w:t>
      </w:r>
      <w:r>
        <w:rPr>
          <w:rFonts w:hint="eastAsia"/>
        </w:rPr>
        <w:t>文化建设</w:t>
      </w:r>
    </w:p>
    <w:p w14:paraId="6BA9B5EE" w14:textId="411AA634" w:rsidR="00D33EF8" w:rsidRDefault="003B67E7">
      <w:pPr>
        <w:pStyle w:val="Default"/>
        <w:ind w:firstLineChars="200" w:firstLine="560"/>
        <w:rPr>
          <w:rFonts w:ascii="宋体" w:eastAsia="宋体" w:hAnsi="宋体" w:cs="宋体"/>
          <w:sz w:val="28"/>
          <w:szCs w:val="28"/>
        </w:rPr>
      </w:pPr>
      <w:r>
        <w:rPr>
          <w:rFonts w:ascii="宋体" w:eastAsia="宋体" w:hAnsi="宋体" w:hint="eastAsia"/>
          <w:sz w:val="28"/>
          <w:szCs w:val="28"/>
        </w:rPr>
        <w:t>加强基层党建引领，弘扬天城大校园文化。</w:t>
      </w:r>
      <w:r w:rsidR="00D7362C" w:rsidRPr="00D7362C">
        <w:rPr>
          <w:rFonts w:ascii="宋体" w:eastAsia="宋体" w:hAnsi="宋体" w:hint="eastAsia"/>
          <w:sz w:val="28"/>
          <w:szCs w:val="28"/>
        </w:rPr>
        <w:t>新型冠状病毒感染</w:t>
      </w:r>
      <w:r>
        <w:rPr>
          <w:rFonts w:ascii="宋体" w:eastAsia="宋体" w:hAnsi="宋体" w:hint="eastAsia"/>
          <w:sz w:val="28"/>
          <w:szCs w:val="28"/>
        </w:rPr>
        <w:t>疫情防控期间，充分利用网络平台，召开学生线上座谈会，面向全校学生开展“抗击疫情，爱国力行”系列主题教育；发挥“天城大青年学习会”、“四史”学生宣讲团等思想政治类学生社团作用，引导广大学生参加各级各类主题教育，引导学生不断增强制度自</w:t>
      </w:r>
      <w:r>
        <w:rPr>
          <w:rFonts w:ascii="宋体" w:eastAsia="宋体" w:hAnsi="宋体" w:hint="eastAsia"/>
          <w:sz w:val="28"/>
          <w:szCs w:val="28"/>
        </w:rPr>
        <w:lastRenderedPageBreak/>
        <w:t>信，弘扬爱国主义精神，做到疫情防控和思想引领“双胜利”。</w:t>
      </w:r>
    </w:p>
    <w:p w14:paraId="68B562D2" w14:textId="77777777" w:rsidR="00D33EF8" w:rsidRDefault="003B67E7">
      <w:pPr>
        <w:pStyle w:val="2"/>
      </w:pPr>
      <w:r>
        <w:rPr>
          <w:rFonts w:hint="eastAsia"/>
        </w:rPr>
        <w:t>五、学位点建设存在的问题及建设规划</w:t>
      </w:r>
    </w:p>
    <w:p w14:paraId="119CF9C5" w14:textId="77777777" w:rsidR="00D33EF8" w:rsidRDefault="003B67E7">
      <w:pPr>
        <w:pStyle w:val="3"/>
      </w:pPr>
      <w:r>
        <w:rPr>
          <w:rFonts w:hint="eastAsia"/>
        </w:rPr>
        <w:t>5</w:t>
      </w:r>
      <w:r>
        <w:t>.1</w:t>
      </w:r>
      <w:r>
        <w:rPr>
          <w:rFonts w:hint="eastAsia"/>
        </w:rPr>
        <w:t>学位点存在的问题</w:t>
      </w:r>
    </w:p>
    <w:p w14:paraId="4E26A81F" w14:textId="77777777" w:rsidR="00D33EF8" w:rsidRDefault="003B67E7">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学校组织了有关专家对于本学位点实际情况进行了自我评价，经过专家组评审，总体而言主要存在以下问题：</w:t>
      </w:r>
    </w:p>
    <w:p w14:paraId="3C0C97E3"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）师资队伍结构有所改善，但高端人才和学科领军人才仍较缺乏，对青</w:t>
      </w:r>
      <w:r>
        <w:rPr>
          <w:rFonts w:ascii="宋体" w:eastAsia="宋体" w:hAnsi="宋体" w:cs="宋体" w:hint="eastAsia"/>
          <w:color w:val="auto"/>
          <w:sz w:val="28"/>
          <w:szCs w:val="28"/>
        </w:rPr>
        <w:t>年教师培养力度不够；</w:t>
      </w:r>
    </w:p>
    <w:p w14:paraId="4A2BA526"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color w:val="auto"/>
          <w:sz w:val="28"/>
          <w:szCs w:val="28"/>
        </w:rPr>
        <w:t>2</w:t>
      </w:r>
      <w:r>
        <w:rPr>
          <w:rFonts w:ascii="宋体" w:eastAsia="宋体" w:hAnsi="宋体" w:cs="宋体" w:hint="eastAsia"/>
          <w:color w:val="auto"/>
          <w:sz w:val="28"/>
          <w:szCs w:val="28"/>
        </w:rPr>
        <w:t>）标志性成果以及科研获奖较少，如承担国家级科研项目的级别有待提高，高水平学术著作、论文不多；</w:t>
      </w:r>
    </w:p>
    <w:p w14:paraId="076B79CD"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3</w:t>
      </w:r>
      <w:r>
        <w:rPr>
          <w:rFonts w:ascii="宋体" w:eastAsia="宋体" w:hAnsi="宋体" w:cs="宋体" w:hint="eastAsia"/>
          <w:color w:val="auto"/>
          <w:sz w:val="28"/>
          <w:szCs w:val="28"/>
        </w:rPr>
        <w:t>）学科特色与优势可进一步凝练。</w:t>
      </w:r>
    </w:p>
    <w:p w14:paraId="412C5C87" w14:textId="77777777" w:rsidR="00D33EF8" w:rsidRDefault="003B67E7">
      <w:pPr>
        <w:pStyle w:val="3"/>
      </w:pPr>
      <w:r>
        <w:rPr>
          <w:rFonts w:hint="eastAsia"/>
        </w:rPr>
        <w:t>5</w:t>
      </w:r>
      <w:r>
        <w:t>.2</w:t>
      </w:r>
      <w:r>
        <w:rPr>
          <w:rFonts w:hint="eastAsia"/>
        </w:rPr>
        <w:t>学位点建设规划</w:t>
      </w:r>
    </w:p>
    <w:p w14:paraId="5DE68394"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w:t>
      </w:r>
      <w:r>
        <w:rPr>
          <w:rFonts w:ascii="宋体" w:eastAsia="宋体" w:hAnsi="宋体" w:cs="宋体"/>
          <w:color w:val="auto"/>
          <w:sz w:val="28"/>
          <w:szCs w:val="28"/>
        </w:rPr>
        <w:t>进一步提升师资队伍水平。一方面，</w:t>
      </w:r>
      <w:r>
        <w:rPr>
          <w:rFonts w:ascii="宋体" w:eastAsia="宋体" w:hAnsi="宋体" w:cs="宋体" w:hint="eastAsia"/>
          <w:color w:val="auto"/>
          <w:sz w:val="28"/>
          <w:szCs w:val="28"/>
        </w:rPr>
        <w:t>加强与国内外</w:t>
      </w:r>
      <w:r>
        <w:rPr>
          <w:rFonts w:ascii="宋体" w:eastAsia="宋体" w:hAnsi="宋体" w:cs="宋体"/>
          <w:color w:val="auto"/>
          <w:sz w:val="28"/>
          <w:szCs w:val="28"/>
        </w:rPr>
        <w:t>引进高水平人才</w:t>
      </w:r>
      <w:r>
        <w:rPr>
          <w:rFonts w:ascii="宋体" w:eastAsia="宋体" w:hAnsi="宋体" w:cs="宋体" w:hint="eastAsia"/>
          <w:color w:val="auto"/>
          <w:sz w:val="28"/>
          <w:szCs w:val="28"/>
        </w:rPr>
        <w:t>的联系与交流</w:t>
      </w:r>
      <w:r>
        <w:rPr>
          <w:rFonts w:ascii="宋体" w:eastAsia="宋体" w:hAnsi="宋体" w:cs="宋体"/>
          <w:color w:val="auto"/>
          <w:sz w:val="28"/>
          <w:szCs w:val="28"/>
        </w:rPr>
        <w:t>，</w:t>
      </w:r>
      <w:r>
        <w:rPr>
          <w:rFonts w:ascii="宋体" w:eastAsia="宋体" w:hAnsi="宋体" w:cs="宋体" w:hint="eastAsia"/>
          <w:color w:val="auto"/>
          <w:sz w:val="28"/>
          <w:szCs w:val="28"/>
        </w:rPr>
        <w:t>为引进高水平人才创造一切便利条件；</w:t>
      </w:r>
      <w:r>
        <w:rPr>
          <w:rFonts w:ascii="宋体" w:eastAsia="宋体" w:hAnsi="宋体" w:cs="宋体"/>
          <w:color w:val="auto"/>
          <w:sz w:val="28"/>
          <w:szCs w:val="28"/>
        </w:rPr>
        <w:t>同时，加大对教师队伍尤其是青年教师的培养工作，</w:t>
      </w:r>
      <w:r>
        <w:rPr>
          <w:rFonts w:ascii="宋体" w:eastAsia="宋体" w:hAnsi="宋体" w:cs="宋体" w:hint="eastAsia"/>
          <w:color w:val="auto"/>
          <w:sz w:val="28"/>
          <w:szCs w:val="28"/>
        </w:rPr>
        <w:t>促进教师成长，提升教师在教学、科研及社会服务等方便的能力及水平，</w:t>
      </w:r>
      <w:r>
        <w:rPr>
          <w:rFonts w:ascii="宋体" w:eastAsia="宋体" w:hAnsi="宋体" w:cs="宋体"/>
          <w:color w:val="auto"/>
          <w:sz w:val="28"/>
          <w:szCs w:val="28"/>
        </w:rPr>
        <w:t>鼓励青年教师</w:t>
      </w:r>
      <w:r>
        <w:rPr>
          <w:rFonts w:ascii="宋体" w:eastAsia="宋体" w:hAnsi="宋体" w:cs="宋体" w:hint="eastAsia"/>
          <w:color w:val="auto"/>
          <w:sz w:val="28"/>
          <w:szCs w:val="28"/>
        </w:rPr>
        <w:t>参加国内外各种学术交流。</w:t>
      </w:r>
    </w:p>
    <w:p w14:paraId="6F52AB1D" w14:textId="77777777"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2</w:t>
      </w:r>
      <w:r>
        <w:rPr>
          <w:rFonts w:ascii="宋体" w:eastAsia="宋体" w:hAnsi="宋体" w:cs="宋体" w:hint="eastAsia"/>
          <w:color w:val="auto"/>
          <w:sz w:val="28"/>
          <w:szCs w:val="28"/>
        </w:rPr>
        <w:t>）</w:t>
      </w:r>
      <w:r>
        <w:rPr>
          <w:rFonts w:ascii="宋体" w:eastAsia="宋体" w:hAnsi="宋体" w:cs="宋体"/>
          <w:color w:val="auto"/>
          <w:sz w:val="28"/>
          <w:szCs w:val="28"/>
        </w:rPr>
        <w:t>加强已有科技平台内涵建设</w:t>
      </w:r>
      <w:r>
        <w:rPr>
          <w:rFonts w:ascii="宋体" w:eastAsia="宋体" w:hAnsi="宋体" w:cs="宋体" w:hint="eastAsia"/>
          <w:color w:val="auto"/>
          <w:sz w:val="28"/>
          <w:szCs w:val="28"/>
        </w:rPr>
        <w:t>。充分发挥</w:t>
      </w:r>
      <w:r>
        <w:rPr>
          <w:rFonts w:ascii="宋体" w:eastAsia="宋体" w:hAnsi="宋体" w:cs="宋体" w:hint="eastAsia"/>
          <w:color w:val="auto"/>
          <w:sz w:val="28"/>
          <w:szCs w:val="28"/>
        </w:rPr>
        <w:t>5</w:t>
      </w:r>
      <w:r>
        <w:rPr>
          <w:rFonts w:ascii="宋体" w:eastAsia="宋体" w:hAnsi="宋体" w:cs="宋体" w:hint="eastAsia"/>
          <w:color w:val="auto"/>
          <w:sz w:val="28"/>
          <w:szCs w:val="28"/>
        </w:rPr>
        <w:t>个省部级平台的支撑作用，完善</w:t>
      </w:r>
      <w:r>
        <w:rPr>
          <w:rFonts w:ascii="宋体" w:eastAsia="宋体" w:hAnsi="宋体" w:cs="宋体"/>
          <w:color w:val="auto"/>
          <w:sz w:val="28"/>
          <w:szCs w:val="28"/>
        </w:rPr>
        <w:t>平台的资源聚集功能，</w:t>
      </w:r>
      <w:r>
        <w:rPr>
          <w:rFonts w:ascii="宋体" w:eastAsia="宋体" w:hAnsi="宋体" w:cs="宋体" w:hint="eastAsia"/>
          <w:color w:val="auto"/>
          <w:sz w:val="28"/>
          <w:szCs w:val="28"/>
        </w:rPr>
        <w:t>为教师申报各类科研项目创造条件；完善科研团队制度，鼓励教师加强合作，积极申报高水平科研项目。</w:t>
      </w:r>
    </w:p>
    <w:p w14:paraId="517B7C62" w14:textId="7382B1AE" w:rsidR="00D33EF8" w:rsidRDefault="003B67E7">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lastRenderedPageBreak/>
        <w:t>（</w:t>
      </w:r>
      <w:r>
        <w:rPr>
          <w:rFonts w:ascii="宋体" w:eastAsia="宋体" w:hAnsi="宋体" w:cs="宋体" w:hint="eastAsia"/>
          <w:color w:val="auto"/>
          <w:sz w:val="28"/>
          <w:szCs w:val="28"/>
        </w:rPr>
        <w:t>3</w:t>
      </w:r>
      <w:r>
        <w:rPr>
          <w:rFonts w:ascii="宋体" w:eastAsia="宋体" w:hAnsi="宋体" w:cs="宋体" w:hint="eastAsia"/>
          <w:color w:val="auto"/>
          <w:sz w:val="28"/>
          <w:szCs w:val="28"/>
        </w:rPr>
        <w:t>）</w:t>
      </w:r>
      <w:r>
        <w:rPr>
          <w:rFonts w:ascii="宋体" w:eastAsia="宋体" w:hAnsi="宋体" w:cs="宋体"/>
          <w:color w:val="auto"/>
          <w:sz w:val="28"/>
          <w:szCs w:val="28"/>
        </w:rPr>
        <w:t>进一步凝练学科方向</w:t>
      </w:r>
      <w:r>
        <w:rPr>
          <w:rFonts w:ascii="宋体" w:eastAsia="宋体" w:hAnsi="宋体" w:cs="宋体" w:hint="eastAsia"/>
          <w:color w:val="auto"/>
          <w:sz w:val="28"/>
          <w:szCs w:val="28"/>
        </w:rPr>
        <w:t>。</w:t>
      </w:r>
      <w:r>
        <w:rPr>
          <w:rFonts w:ascii="宋体" w:eastAsia="宋体" w:hAnsi="宋体" w:cs="宋体"/>
          <w:color w:val="auto"/>
          <w:sz w:val="28"/>
          <w:szCs w:val="28"/>
        </w:rPr>
        <w:t>紧密围绕</w:t>
      </w:r>
      <w:r>
        <w:rPr>
          <w:rFonts w:ascii="宋体" w:eastAsia="宋体" w:hAnsi="宋体" w:cs="宋体"/>
          <w:color w:val="auto"/>
          <w:sz w:val="28"/>
          <w:szCs w:val="28"/>
        </w:rPr>
        <w:t>“</w:t>
      </w:r>
      <w:r>
        <w:rPr>
          <w:rFonts w:ascii="宋体" w:eastAsia="宋体" w:hAnsi="宋体" w:cs="宋体" w:hint="eastAsia"/>
          <w:color w:val="auto"/>
          <w:sz w:val="28"/>
          <w:szCs w:val="28"/>
        </w:rPr>
        <w:t>城市更新</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绿色建筑</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遗产保护</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乡村振兴</w:t>
      </w:r>
      <w:r>
        <w:rPr>
          <w:rFonts w:ascii="宋体" w:eastAsia="宋体" w:hAnsi="宋体" w:cs="宋体"/>
          <w:color w:val="auto"/>
          <w:sz w:val="28"/>
          <w:szCs w:val="28"/>
        </w:rPr>
        <w:t>”</w:t>
      </w:r>
      <w:r>
        <w:rPr>
          <w:rFonts w:ascii="宋体" w:eastAsia="宋体" w:hAnsi="宋体" w:cs="宋体"/>
          <w:color w:val="auto"/>
          <w:sz w:val="28"/>
          <w:szCs w:val="28"/>
        </w:rPr>
        <w:t>等国家发展战略以及发展需求</w:t>
      </w:r>
      <w:r w:rsidR="007151C2">
        <w:rPr>
          <w:rFonts w:ascii="宋体" w:eastAsia="宋体" w:hAnsi="宋体" w:cs="宋体" w:hint="eastAsia"/>
          <w:color w:val="auto"/>
          <w:sz w:val="28"/>
          <w:szCs w:val="28"/>
        </w:rPr>
        <w:t>，</w:t>
      </w:r>
      <w:r>
        <w:rPr>
          <w:rFonts w:ascii="宋体" w:eastAsia="宋体" w:hAnsi="宋体" w:cs="宋体"/>
          <w:color w:val="auto"/>
          <w:sz w:val="28"/>
          <w:szCs w:val="28"/>
        </w:rPr>
        <w:t>凝练学科方向</w:t>
      </w:r>
      <w:r>
        <w:rPr>
          <w:rFonts w:ascii="宋体" w:eastAsia="宋体" w:hAnsi="宋体" w:cs="宋体" w:hint="eastAsia"/>
          <w:color w:val="auto"/>
          <w:sz w:val="28"/>
          <w:szCs w:val="28"/>
        </w:rPr>
        <w:t>，</w:t>
      </w:r>
      <w:r>
        <w:rPr>
          <w:rFonts w:ascii="宋体" w:eastAsia="宋体" w:hAnsi="宋体" w:cs="宋体"/>
          <w:color w:val="auto"/>
          <w:sz w:val="28"/>
          <w:szCs w:val="28"/>
        </w:rPr>
        <w:t>开展学科建设</w:t>
      </w:r>
      <w:r>
        <w:rPr>
          <w:rFonts w:ascii="宋体" w:eastAsia="宋体" w:hAnsi="宋体" w:cs="宋体" w:hint="eastAsia"/>
          <w:color w:val="auto"/>
          <w:sz w:val="28"/>
          <w:szCs w:val="28"/>
        </w:rPr>
        <w:t>，加强学位点服务社会的能力建设。</w:t>
      </w:r>
    </w:p>
    <w:p w14:paraId="095F9764" w14:textId="77777777" w:rsidR="00D33EF8" w:rsidRDefault="00D33EF8">
      <w:pPr>
        <w:widowControl/>
        <w:shd w:val="clear" w:color="auto" w:fill="FFFFFF"/>
        <w:ind w:firstLineChars="200" w:firstLine="560"/>
        <w:jc w:val="left"/>
        <w:rPr>
          <w:rFonts w:ascii="宋体" w:hAnsi="宋体"/>
        </w:rPr>
      </w:pPr>
    </w:p>
    <w:sectPr w:rsidR="00D33E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3F66" w14:textId="77777777" w:rsidR="003B67E7" w:rsidRDefault="003B67E7" w:rsidP="00D34D09">
      <w:r>
        <w:separator/>
      </w:r>
    </w:p>
  </w:endnote>
  <w:endnote w:type="continuationSeparator" w:id="0">
    <w:p w14:paraId="113D987C" w14:textId="77777777" w:rsidR="003B67E7" w:rsidRDefault="003B67E7" w:rsidP="00D3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9C204B93-34F8-42AD-ADAF-9B8B7684A618}"/>
  </w:font>
  <w:font w:name="黑体">
    <w:altName w:val="SimHei"/>
    <w:panose1 w:val="02010609060101010101"/>
    <w:charset w:val="86"/>
    <w:family w:val="modern"/>
    <w:pitch w:val="fixed"/>
    <w:sig w:usb0="800002BF" w:usb1="38CF7CFA" w:usb2="00000016" w:usb3="00000000" w:csb0="00040001" w:csb1="00000000"/>
    <w:embedBold r:id="rId2" w:subsetted="1" w:fontKey="{8F8ACBAE-B0CF-4C14-A681-8691D3276152}"/>
  </w:font>
  <w:font w:name="等线 Light">
    <w:panose1 w:val="02010600030101010101"/>
    <w:charset w:val="86"/>
    <w:family w:val="auto"/>
    <w:pitch w:val="variable"/>
    <w:sig w:usb0="A00002BF" w:usb1="38CF7CFA" w:usb2="00000016" w:usb3="00000000" w:csb0="0004000F" w:csb1="00000000"/>
    <w:embedBold r:id="rId3" w:subsetted="1" w:fontKey="{8BE89165-5BD7-4C70-B9F1-0874FA0D166E}"/>
  </w:font>
  <w:font w:name="方正仿宋简体">
    <w:altName w:val="微软雅黑"/>
    <w:charset w:val="86"/>
    <w:family w:val="script"/>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4" w:fontKey="{E4143E8E-BB0F-4691-AD50-3CF433D929EE}"/>
  </w:font>
  <w:font w:name="方正小标宋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B33EF81-F542-432E-9251-F2CBCA6DD9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05DB9" w14:textId="77777777" w:rsidR="003B67E7" w:rsidRDefault="003B67E7" w:rsidP="00D34D09">
      <w:r>
        <w:separator/>
      </w:r>
    </w:p>
  </w:footnote>
  <w:footnote w:type="continuationSeparator" w:id="0">
    <w:p w14:paraId="0AC3A699" w14:textId="77777777" w:rsidR="003B67E7" w:rsidRDefault="003B67E7" w:rsidP="00D34D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CD8"/>
    <w:rsid w:val="00000A2C"/>
    <w:rsid w:val="0002361F"/>
    <w:rsid w:val="00023D81"/>
    <w:rsid w:val="0006158E"/>
    <w:rsid w:val="00072F55"/>
    <w:rsid w:val="000964E2"/>
    <w:rsid w:val="000D4DFE"/>
    <w:rsid w:val="000E2CB4"/>
    <w:rsid w:val="00112BA1"/>
    <w:rsid w:val="0017740C"/>
    <w:rsid w:val="001959BC"/>
    <w:rsid w:val="00196277"/>
    <w:rsid w:val="001E6A08"/>
    <w:rsid w:val="00207073"/>
    <w:rsid w:val="00216BAD"/>
    <w:rsid w:val="00227CD2"/>
    <w:rsid w:val="00233955"/>
    <w:rsid w:val="002A4B54"/>
    <w:rsid w:val="002D342C"/>
    <w:rsid w:val="002F3086"/>
    <w:rsid w:val="00306767"/>
    <w:rsid w:val="00307B5C"/>
    <w:rsid w:val="0033351B"/>
    <w:rsid w:val="003526BE"/>
    <w:rsid w:val="003706FE"/>
    <w:rsid w:val="003724D8"/>
    <w:rsid w:val="00392F20"/>
    <w:rsid w:val="0039407B"/>
    <w:rsid w:val="00395AA4"/>
    <w:rsid w:val="003B67E7"/>
    <w:rsid w:val="003D4670"/>
    <w:rsid w:val="003D6D7D"/>
    <w:rsid w:val="003F6431"/>
    <w:rsid w:val="00411D35"/>
    <w:rsid w:val="004129CF"/>
    <w:rsid w:val="00462D40"/>
    <w:rsid w:val="00494F0F"/>
    <w:rsid w:val="004D251C"/>
    <w:rsid w:val="004D4DBB"/>
    <w:rsid w:val="004E060E"/>
    <w:rsid w:val="004E7604"/>
    <w:rsid w:val="004F6BFF"/>
    <w:rsid w:val="00501318"/>
    <w:rsid w:val="005250E8"/>
    <w:rsid w:val="00535C31"/>
    <w:rsid w:val="00535F1A"/>
    <w:rsid w:val="0054659F"/>
    <w:rsid w:val="00554655"/>
    <w:rsid w:val="005622DA"/>
    <w:rsid w:val="00580C0B"/>
    <w:rsid w:val="005A18D5"/>
    <w:rsid w:val="005A5E93"/>
    <w:rsid w:val="005A72B9"/>
    <w:rsid w:val="005D1B4F"/>
    <w:rsid w:val="005F3211"/>
    <w:rsid w:val="00631AD2"/>
    <w:rsid w:val="006336C1"/>
    <w:rsid w:val="00642C9C"/>
    <w:rsid w:val="00645C90"/>
    <w:rsid w:val="006551F9"/>
    <w:rsid w:val="006574C1"/>
    <w:rsid w:val="00676234"/>
    <w:rsid w:val="00694B05"/>
    <w:rsid w:val="006A2595"/>
    <w:rsid w:val="006C623D"/>
    <w:rsid w:val="006C7F2B"/>
    <w:rsid w:val="006E22A1"/>
    <w:rsid w:val="007151C2"/>
    <w:rsid w:val="00773651"/>
    <w:rsid w:val="007D7063"/>
    <w:rsid w:val="007F4E8B"/>
    <w:rsid w:val="007F4F36"/>
    <w:rsid w:val="00824CD8"/>
    <w:rsid w:val="008437FB"/>
    <w:rsid w:val="00872584"/>
    <w:rsid w:val="008C0580"/>
    <w:rsid w:val="008C4102"/>
    <w:rsid w:val="008C5DF0"/>
    <w:rsid w:val="008F1AFD"/>
    <w:rsid w:val="00997C2D"/>
    <w:rsid w:val="009C1C9A"/>
    <w:rsid w:val="009D392F"/>
    <w:rsid w:val="009D7FBF"/>
    <w:rsid w:val="00A61384"/>
    <w:rsid w:val="00A9120F"/>
    <w:rsid w:val="00AA1B0F"/>
    <w:rsid w:val="00AD47CE"/>
    <w:rsid w:val="00B07AF3"/>
    <w:rsid w:val="00B25911"/>
    <w:rsid w:val="00B6693C"/>
    <w:rsid w:val="00B85220"/>
    <w:rsid w:val="00B8620C"/>
    <w:rsid w:val="00B92897"/>
    <w:rsid w:val="00BA2702"/>
    <w:rsid w:val="00BD66EA"/>
    <w:rsid w:val="00C076E2"/>
    <w:rsid w:val="00C225AA"/>
    <w:rsid w:val="00C24117"/>
    <w:rsid w:val="00C41D88"/>
    <w:rsid w:val="00C53C49"/>
    <w:rsid w:val="00CB04BB"/>
    <w:rsid w:val="00D33EF8"/>
    <w:rsid w:val="00D34D09"/>
    <w:rsid w:val="00D40127"/>
    <w:rsid w:val="00D578ED"/>
    <w:rsid w:val="00D66423"/>
    <w:rsid w:val="00D7362C"/>
    <w:rsid w:val="00D9362D"/>
    <w:rsid w:val="00DA2EEE"/>
    <w:rsid w:val="00DA5012"/>
    <w:rsid w:val="00DD188B"/>
    <w:rsid w:val="00DD48AD"/>
    <w:rsid w:val="00DE4C68"/>
    <w:rsid w:val="00E3217C"/>
    <w:rsid w:val="00E77A38"/>
    <w:rsid w:val="00ED1A0F"/>
    <w:rsid w:val="00F24705"/>
    <w:rsid w:val="00F34BA1"/>
    <w:rsid w:val="00F56CCA"/>
    <w:rsid w:val="00F618B2"/>
    <w:rsid w:val="00F67BA3"/>
    <w:rsid w:val="00FB6C37"/>
    <w:rsid w:val="00FC1327"/>
    <w:rsid w:val="00FC79A1"/>
    <w:rsid w:val="00FD0964"/>
    <w:rsid w:val="00FD2711"/>
    <w:rsid w:val="00FD342E"/>
    <w:rsid w:val="00FE77BB"/>
    <w:rsid w:val="00FF7312"/>
    <w:rsid w:val="1D554768"/>
    <w:rsid w:val="39A15B41"/>
    <w:rsid w:val="52885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7D42A"/>
  <w15:docId w15:val="{D1578732-D167-4BC8-B5E2-892933F8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hAnsi="等线" w:cs="黑体"/>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等线 Light" w:eastAsia="黑体" w:hAnsi="等线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黑体" w:eastAsia="黑体" w:hAnsi="黑体"/>
      <w:b/>
      <w:bCs/>
      <w:sz w:val="32"/>
      <w:szCs w:val="32"/>
    </w:rPr>
  </w:style>
  <w:style w:type="paragraph" w:styleId="4">
    <w:name w:val="heading 4"/>
    <w:basedOn w:val="a"/>
    <w:next w:val="a"/>
    <w:link w:val="40"/>
    <w:uiPriority w:val="9"/>
    <w:unhideWhenUsed/>
    <w:qFormat/>
    <w:pPr>
      <w:keepNext/>
      <w:keepLines/>
      <w:spacing w:before="280" w:after="290" w:line="377" w:lineRule="auto"/>
      <w:ind w:leftChars="200" w:left="200"/>
      <w:outlineLvl w:val="3"/>
    </w:pPr>
    <w:rPr>
      <w:rFonts w:ascii="等线 Light" w:eastAsia="黑体" w:hAnsi="等线 Light"/>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
    <w:name w:val="Heading3"/>
    <w:basedOn w:val="a"/>
    <w:next w:val="a"/>
    <w:qFormat/>
    <w:pPr>
      <w:spacing w:line="600" w:lineRule="exact"/>
      <w:ind w:firstLineChars="200" w:firstLine="640"/>
      <w:textAlignment w:val="baseline"/>
    </w:pPr>
    <w:rPr>
      <w:rFonts w:ascii="黑体" w:eastAsia="黑体" w:hAnsi="黑体"/>
      <w:color w:val="000000"/>
      <w:sz w:val="32"/>
      <w:szCs w:val="32"/>
    </w:rPr>
  </w:style>
  <w:style w:type="character" w:customStyle="1" w:styleId="toolbarlabel">
    <w:name w:val="toolbarlabel"/>
    <w:basedOn w:val="a0"/>
    <w:qFormat/>
  </w:style>
  <w:style w:type="character" w:customStyle="1" w:styleId="dropdowntoolbarbutton">
    <w:name w:val="dropdowntoolbarbutton"/>
    <w:basedOn w:val="a0"/>
    <w:qFormat/>
  </w:style>
  <w:style w:type="character" w:customStyle="1" w:styleId="a6">
    <w:name w:val="页眉 字符"/>
    <w:link w:val="a5"/>
    <w:uiPriority w:val="99"/>
    <w:qFormat/>
    <w:rPr>
      <w:sz w:val="18"/>
      <w:szCs w:val="18"/>
    </w:rPr>
  </w:style>
  <w:style w:type="character" w:customStyle="1" w:styleId="a4">
    <w:name w:val="页脚 字符"/>
    <w:link w:val="a3"/>
    <w:uiPriority w:val="99"/>
    <w:rPr>
      <w:sz w:val="18"/>
      <w:szCs w:val="18"/>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rPr>
      <w:rFonts w:ascii="等线 Light" w:eastAsia="黑体" w:hAnsi="等线 Light" w:cs="黑体"/>
      <w:b/>
      <w:bCs/>
      <w:sz w:val="32"/>
      <w:szCs w:val="32"/>
    </w:rPr>
  </w:style>
  <w:style w:type="character" w:customStyle="1" w:styleId="30">
    <w:name w:val="标题 3 字符"/>
    <w:link w:val="3"/>
    <w:uiPriority w:val="9"/>
    <w:qFormat/>
    <w:rPr>
      <w:rFonts w:ascii="黑体" w:eastAsia="黑体" w:hAnsi="黑体"/>
      <w:b/>
      <w:bCs/>
      <w:sz w:val="32"/>
      <w:szCs w:val="32"/>
    </w:rPr>
  </w:style>
  <w:style w:type="character" w:customStyle="1" w:styleId="40">
    <w:name w:val="标题 4 字符"/>
    <w:link w:val="4"/>
    <w:uiPriority w:val="9"/>
    <w:qFormat/>
    <w:rPr>
      <w:rFonts w:ascii="等线 Light" w:eastAsia="黑体" w:hAnsi="等线 Light" w:cs="黑体"/>
      <w:b/>
      <w:bCs/>
      <w:sz w:val="28"/>
      <w:szCs w:val="28"/>
    </w:rPr>
  </w:style>
  <w:style w:type="character" w:customStyle="1" w:styleId="NormalCharacter">
    <w:name w:val="NormalCharacter"/>
    <w:semiHidden/>
    <w:qFormat/>
    <w:rPr>
      <w:rFonts w:ascii="等线" w:eastAsia="方正仿宋简体" w:hAnsi="等线" w:cs="黑体"/>
      <w:kern w:val="2"/>
      <w:sz w:val="32"/>
      <w:szCs w:val="24"/>
      <w:lang w:val="en-US" w:eastAsia="zh-CN" w:bidi="ar-SA"/>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职称结构</c:v>
                </c:pt>
              </c:strCache>
            </c:strRef>
          </c:tx>
          <c:dPt>
            <c:idx val="0"/>
            <c:bubble3D val="0"/>
            <c:spPr>
              <a:solidFill>
                <a:srgbClr val="376092">
                  <a:lumMod val="75000"/>
                </a:srgbClr>
              </a:solidFill>
              <a:ln w="19050">
                <a:solidFill>
                  <a:srgbClr val="FFFFFF"/>
                </a:solidFill>
              </a:ln>
              <a:effectLst/>
            </c:spPr>
            <c:extLst>
              <c:ext xmlns:c16="http://schemas.microsoft.com/office/drawing/2014/chart" uri="{C3380CC4-5D6E-409C-BE32-E72D297353CC}">
                <c16:uniqueId val="{00000001-3032-4555-9CF1-B5F5FBC89979}"/>
              </c:ext>
            </c:extLst>
          </c:dPt>
          <c:dPt>
            <c:idx val="1"/>
            <c:bubble3D val="0"/>
            <c:spPr>
              <a:solidFill>
                <a:srgbClr val="E46C0A">
                  <a:lumMod val="75000"/>
                </a:srgbClr>
              </a:solidFill>
              <a:ln w="19050">
                <a:solidFill>
                  <a:srgbClr val="FFFFFF"/>
                </a:solidFill>
              </a:ln>
              <a:effectLst/>
            </c:spPr>
            <c:extLst>
              <c:ext xmlns:c16="http://schemas.microsoft.com/office/drawing/2014/chart" uri="{C3380CC4-5D6E-409C-BE32-E72D297353CC}">
                <c16:uniqueId val="{00000003-3032-4555-9CF1-B5F5FBC89979}"/>
              </c:ext>
            </c:extLst>
          </c:dPt>
          <c:dPt>
            <c:idx val="2"/>
            <c:bubble3D val="0"/>
            <c:spPr>
              <a:solidFill>
                <a:srgbClr val="A6A6A6">
                  <a:lumMod val="65000"/>
                </a:srgbClr>
              </a:solidFill>
              <a:ln w="19050">
                <a:solidFill>
                  <a:srgbClr val="FFFFFF"/>
                </a:solidFill>
              </a:ln>
              <a:effectLst/>
            </c:spPr>
            <c:extLst>
              <c:ext xmlns:c16="http://schemas.microsoft.com/office/drawing/2014/chart" uri="{C3380CC4-5D6E-409C-BE32-E72D297353CC}">
                <c16:uniqueId val="{00000005-3032-4555-9CF1-B5F5FBC89979}"/>
              </c:ext>
            </c:extLst>
          </c:dPt>
          <c:dPt>
            <c:idx val="3"/>
            <c:bubble3D val="0"/>
            <c:spPr>
              <a:solidFill>
                <a:srgbClr val="8EB4E3">
                  <a:lumMod val="40000"/>
                  <a:lumOff val="60000"/>
                </a:srgbClr>
              </a:solidFill>
              <a:ln w="19050">
                <a:solidFill>
                  <a:srgbClr val="FFFFFF"/>
                </a:solidFill>
              </a:ln>
              <a:effectLst/>
            </c:spPr>
            <c:extLst>
              <c:ext xmlns:c16="http://schemas.microsoft.com/office/drawing/2014/chart" uri="{C3380CC4-5D6E-409C-BE32-E72D297353CC}">
                <c16:uniqueId val="{00000007-3032-4555-9CF1-B5F5FBC89979}"/>
              </c:ext>
            </c:extLst>
          </c:dPt>
          <c:dLbls>
            <c:dLbl>
              <c:idx val="0"/>
              <c:spPr>
                <a:noFill/>
                <a:ln>
                  <a:noFill/>
                </a:ln>
                <a:effectLst/>
              </c:spPr>
              <c:txPr>
                <a:bodyPr rot="0" spcFirstLastPara="1" vertOverflow="ellipsis" vert="horz" wrap="square" lIns="36576" tIns="18288" rIns="36576" bIns="18288" anchor="ctr" anchorCtr="1"/>
                <a:lstStyle/>
                <a:p>
                  <a:pPr>
                    <a:defRPr lang="zh-CN" sz="900" b="0" i="0" u="none" strike="noStrike" kern="1200" baseline="0">
                      <a:solidFill>
                        <a:srgbClr val="404040">
                          <a:lumMod val="75000"/>
                          <a:lumOff val="25000"/>
                        </a:srgb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032-4555-9CF1-B5F5FBC89979}"/>
                </c:ext>
              </c:extLst>
            </c:dLbl>
            <c:dLbl>
              <c:idx val="1"/>
              <c:layout>
                <c:manualLayout>
                  <c:x val="-0.14616935483870999"/>
                  <c:y val="-0.14864362690449601"/>
                </c:manualLayout>
              </c:layout>
              <c:dLblPos val="bestFit"/>
              <c:showLegendKey val="0"/>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032-4555-9CF1-B5F5FBC89979}"/>
                </c:ext>
              </c:extLst>
            </c:dLbl>
            <c:dLbl>
              <c:idx val="2"/>
              <c:layout>
                <c:manualLayout>
                  <c:x val="-5.0403225806451603E-2"/>
                  <c:y val="4.4593088071348902E-2"/>
                </c:manualLayout>
              </c:layout>
              <c:tx>
                <c:rich>
                  <a:bodyPr/>
                  <a:lstStyle/>
                  <a:p>
                    <a:fld id="{28522B60-085E-4EEF-A9DC-E541D331F25E}" type="CATEGORYNAME">
                      <a:rPr lang="zh-CN" altLang="en-US"/>
                      <a:pPr/>
                      <a:t>[类别名称]</a:t>
                    </a:fld>
                    <a:endParaRPr lang="zh-CN" altLang="en-US"/>
                  </a:p>
                </c:rich>
              </c:tx>
              <c:dLblPos val="bestFit"/>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032-4555-9CF1-B5F5FBC89979}"/>
                </c:ext>
              </c:extLst>
            </c:dLbl>
            <c:dLbl>
              <c:idx val="3"/>
              <c:tx>
                <c:rich>
                  <a:bodyPr/>
                  <a:lstStyle/>
                  <a:p>
                    <a:fld id="{5F144DFB-0295-40D9-8270-E11A9C99ACB1}" type="CATEGORYNAME">
                      <a:rPr lang="zh-CN" altLang="en-US"/>
                      <a:pPr/>
                      <a:t>[类别名称]</a:t>
                    </a:fld>
                    <a:endParaRPr lang="zh-CN" altLang="en-US"/>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032-4555-9CF1-B5F5FBC89979}"/>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eparator>
</c:separator>
            <c:showLeaderLines val="1"/>
            <c:leaderLines>
              <c:spPr>
                <a:ln w="9525" cap="flat" cmpd="sng" algn="ctr">
                  <a:solidFill>
                    <a:srgbClr val="A6A6A6">
                      <a:lumMod val="35000"/>
                      <a:lumOff val="65000"/>
                    </a:srgbClr>
                  </a:solidFill>
                  <a:prstDash val="solid"/>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30-44岁 34.5％</c:v>
                </c:pt>
                <c:pt idx="1">
                  <c:v>45-49岁 44.8％</c:v>
                </c:pt>
                <c:pt idx="2">
                  <c:v>50-54岁 6.9％</c:v>
                </c:pt>
                <c:pt idx="3">
                  <c:v>55-60岁 13.8％</c:v>
                </c:pt>
              </c:strCache>
            </c:strRef>
          </c:cat>
          <c:val>
            <c:numRef>
              <c:f>Sheet1!$B$2:$B$5</c:f>
              <c:numCache>
                <c:formatCode>General</c:formatCode>
                <c:ptCount val="4"/>
                <c:pt idx="0">
                  <c:v>10</c:v>
                </c:pt>
                <c:pt idx="1">
                  <c:v>13</c:v>
                </c:pt>
                <c:pt idx="2">
                  <c:v>2</c:v>
                </c:pt>
                <c:pt idx="3">
                  <c:v>4</c:v>
                </c:pt>
              </c:numCache>
            </c:numRef>
          </c:val>
          <c:extLst>
            <c:ext xmlns:c16="http://schemas.microsoft.com/office/drawing/2014/chart" uri="{C3380CC4-5D6E-409C-BE32-E72D297353CC}">
              <c16:uniqueId val="{00000008-3032-4555-9CF1-B5F5FBC8997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85ac110-ea71-4b63-9d09-72d9316fc8ef}"/>
      </c:ext>
    </c:extLst>
  </c:chart>
  <c:spPr>
    <a:solidFill>
      <a:srgbClr val="FFFFFF"/>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职称分布</c:v>
                </c:pt>
              </c:strCache>
            </c:strRef>
          </c:tx>
          <c:dPt>
            <c:idx val="0"/>
            <c:bubble3D val="0"/>
            <c:spPr>
              <a:solidFill>
                <a:srgbClr val="4F81BD"/>
              </a:solidFill>
              <a:ln w="19050">
                <a:solidFill>
                  <a:srgbClr val="FFFFFF"/>
                </a:solidFill>
              </a:ln>
              <a:effectLst/>
            </c:spPr>
            <c:extLst>
              <c:ext xmlns:c16="http://schemas.microsoft.com/office/drawing/2014/chart" uri="{C3380CC4-5D6E-409C-BE32-E72D297353CC}">
                <c16:uniqueId val="{00000001-DAC7-482F-8358-FB7CB4966C46}"/>
              </c:ext>
            </c:extLst>
          </c:dPt>
          <c:dPt>
            <c:idx val="1"/>
            <c:bubble3D val="0"/>
            <c:spPr>
              <a:solidFill>
                <a:srgbClr val="C0504D"/>
              </a:solidFill>
              <a:ln w="19050">
                <a:solidFill>
                  <a:srgbClr val="FFFFFF"/>
                </a:solidFill>
              </a:ln>
              <a:effectLst/>
            </c:spPr>
            <c:extLst>
              <c:ext xmlns:c16="http://schemas.microsoft.com/office/drawing/2014/chart" uri="{C3380CC4-5D6E-409C-BE32-E72D297353CC}">
                <c16:uniqueId val="{00000003-DAC7-482F-8358-FB7CB4966C46}"/>
              </c:ext>
            </c:extLst>
          </c:dPt>
          <c:dPt>
            <c:idx val="2"/>
            <c:bubble3D val="0"/>
            <c:spPr>
              <a:solidFill>
                <a:srgbClr val="9BBB59"/>
              </a:solidFill>
              <a:ln w="19050">
                <a:solidFill>
                  <a:srgbClr val="FFFFFF"/>
                </a:solidFill>
              </a:ln>
              <a:effectLst/>
            </c:spPr>
            <c:extLst>
              <c:ext xmlns:c16="http://schemas.microsoft.com/office/drawing/2014/chart" uri="{C3380CC4-5D6E-409C-BE32-E72D297353CC}">
                <c16:uniqueId val="{00000005-DAC7-482F-8358-FB7CB4966C46}"/>
              </c:ext>
            </c:extLst>
          </c:dPt>
          <c:dLbls>
            <c:dLbl>
              <c:idx val="1"/>
              <c:layout>
                <c:manualLayout>
                  <c:x val="0.26204164281164599"/>
                  <c:y val="-6.0579395852374998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5561826018206601"/>
                      <c:h val="0.25265088078842302"/>
                    </c:manualLayout>
                  </c15:layout>
                </c:ext>
                <c:ext xmlns:c16="http://schemas.microsoft.com/office/drawing/2014/chart" uri="{C3380CC4-5D6E-409C-BE32-E72D297353CC}">
                  <c16:uniqueId val="{00000003-DAC7-482F-8358-FB7CB4966C46}"/>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教授 27.5％</c:v>
                </c:pt>
                <c:pt idx="1">
                  <c:v>副教授 41.3％</c:v>
                </c:pt>
                <c:pt idx="2">
                  <c:v>讲师 31.0%</c:v>
                </c:pt>
              </c:strCache>
            </c:strRef>
          </c:cat>
          <c:val>
            <c:numRef>
              <c:f>Sheet1!$B$2:$B$4</c:f>
              <c:numCache>
                <c:formatCode>General</c:formatCode>
                <c:ptCount val="3"/>
                <c:pt idx="0">
                  <c:v>8</c:v>
                </c:pt>
                <c:pt idx="1">
                  <c:v>12</c:v>
                </c:pt>
                <c:pt idx="2">
                  <c:v>9</c:v>
                </c:pt>
              </c:numCache>
            </c:numRef>
          </c:val>
          <c:extLst>
            <c:ext xmlns:c16="http://schemas.microsoft.com/office/drawing/2014/chart" uri="{C3380CC4-5D6E-409C-BE32-E72D297353CC}">
              <c16:uniqueId val="{00000006-DAC7-482F-8358-FB7CB4966C4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uri="{0b15fc19-7d7d-44ad-8c2d-2c3a37ce22c3}">
        <chartProps xmlns="https://web.wps.cn/et/2018/main" chartId="{4ef6fb5c-62c1-4e3e-b9ec-16ae4c961d5c}"/>
      </c:ext>
    </c:extLst>
  </c:chart>
  <c:spPr>
    <a:solidFill>
      <a:srgbClr val="FFFFFF"/>
    </a:solidFill>
    <a:ln w="9525" cap="flat" cmpd="sng" algn="ctr">
      <a:noFill/>
      <a:round/>
    </a:ln>
    <a:effectLst/>
  </c:spPr>
  <c:txPr>
    <a:bodyPr/>
    <a:lstStyle/>
    <a:p>
      <a:pPr>
        <a:defRPr lang="zh-CN">
          <a:latin typeface="Times New Roman" panose="02020603050405020304" charset="0"/>
          <a:cs typeface="Times New Roman" panose="0202060305040502030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19</Pages>
  <Words>4210</Words>
  <Characters>4296</Characters>
  <Application>Microsoft Office Word</Application>
  <DocSecurity>0</DocSecurity>
  <Lines>268</Lines>
  <Paragraphs>250</Paragraphs>
  <ScaleCrop>false</ScaleCrop>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天津城建大学</dc:title>
  <dc:creator>Lenovo</dc:creator>
  <cp:lastModifiedBy>Administrator</cp:lastModifiedBy>
  <cp:revision>20</cp:revision>
  <dcterms:created xsi:type="dcterms:W3CDTF">2025-03-29T00:12:00Z</dcterms:created>
  <dcterms:modified xsi:type="dcterms:W3CDTF">2025-03-30T04:58:00Z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KSOTemplateDocerSaveRecord">
    <vt:lpwstr>eyJoZGlkIjoiODE3YTRhYzliMGM0YzYzYTg4ZTA3MmQ5OWQ4ODZjZjIiLCJ1c2VySWQiOiI0MzkyNTQ3MjIifQ==</vt:lpwstr>
  </property>
  <property fmtid="{D5CDD505-2E9C-101B-9397-08002B2CF9AE}" pid="4" name="ICV">
    <vt:lpwstr>107EE735DF354BC0B71691F4FA00E347_12</vt:lpwstr>
  </property>
</Properties>
</file>