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4B928">
      <w:pPr>
        <w:spacing w:after="156" w:line="560" w:lineRule="exact"/>
        <w:jc w:val="center"/>
        <w:textAlignment w:val="baseline"/>
        <w:rPr>
          <w:rStyle w:val="21"/>
          <w:rFonts w:ascii="Times New Roman" w:hAnsi="Times New Roman" w:eastAsia="方正小标宋简体" w:cs="Times New Roman"/>
          <w:b/>
          <w:sz w:val="44"/>
          <w:szCs w:val="44"/>
        </w:rPr>
      </w:pPr>
    </w:p>
    <w:p w14:paraId="764E9E85">
      <w:pPr>
        <w:spacing w:after="156" w:line="560" w:lineRule="exact"/>
        <w:jc w:val="center"/>
        <w:textAlignment w:val="baseline"/>
        <w:rPr>
          <w:rStyle w:val="21"/>
          <w:rFonts w:ascii="Times New Roman" w:hAnsi="Times New Roman" w:eastAsia="方正小标宋简体" w:cs="Times New Roman"/>
          <w:bCs/>
          <w:sz w:val="44"/>
          <w:szCs w:val="44"/>
        </w:rPr>
      </w:pPr>
    </w:p>
    <w:p w14:paraId="132A5F52">
      <w:pPr>
        <w:spacing w:after="156" w:line="560" w:lineRule="exact"/>
        <w:jc w:val="center"/>
        <w:textAlignment w:val="baseline"/>
        <w:rPr>
          <w:rStyle w:val="21"/>
          <w:rFonts w:ascii="Times New Roman" w:hAnsi="Times New Roman" w:eastAsia="方正小标宋简体" w:cs="Times New Roman"/>
          <w:bCs/>
          <w:sz w:val="44"/>
          <w:szCs w:val="44"/>
        </w:rPr>
      </w:pPr>
    </w:p>
    <w:p w14:paraId="4C83309B">
      <w:pPr>
        <w:widowControl/>
        <w:spacing w:after="156" w:line="560" w:lineRule="exact"/>
        <w:jc w:val="center"/>
        <w:textAlignment w:val="baseline"/>
        <w:rPr>
          <w:rStyle w:val="21"/>
          <w:rFonts w:ascii="宋体" w:hAnsi="宋体" w:eastAsia="宋体" w:cs="Times New Roman"/>
          <w:b/>
          <w:bCs/>
          <w:sz w:val="44"/>
          <w:szCs w:val="44"/>
        </w:rPr>
      </w:pPr>
      <w:r>
        <w:rPr>
          <w:rStyle w:val="21"/>
          <w:rFonts w:hint="eastAsia" w:ascii="宋体" w:hAnsi="宋体" w:eastAsia="宋体" w:cs="Times New Roman"/>
          <w:b/>
          <w:bCs/>
          <w:sz w:val="44"/>
          <w:szCs w:val="44"/>
        </w:rPr>
        <w:t>天津城建大学</w:t>
      </w:r>
    </w:p>
    <w:p w14:paraId="55F28FC6">
      <w:pPr>
        <w:widowControl/>
        <w:spacing w:after="156" w:line="560" w:lineRule="exact"/>
        <w:jc w:val="center"/>
        <w:textAlignment w:val="baseline"/>
        <w:rPr>
          <w:rStyle w:val="21"/>
          <w:rFonts w:ascii="宋体" w:hAnsi="宋体" w:eastAsia="宋体" w:cs="Times New Roman"/>
          <w:b/>
          <w:bCs/>
          <w:sz w:val="44"/>
          <w:szCs w:val="44"/>
        </w:rPr>
      </w:pPr>
      <w:r>
        <w:rPr>
          <w:rStyle w:val="21"/>
          <w:rFonts w:hint="eastAsia" w:ascii="宋体" w:hAnsi="宋体" w:eastAsia="宋体" w:cs="Times New Roman"/>
          <w:b/>
          <w:bCs/>
          <w:sz w:val="44"/>
          <w:szCs w:val="44"/>
        </w:rPr>
        <w:t>学位授权点建设</w:t>
      </w:r>
      <w:r>
        <w:rPr>
          <w:rStyle w:val="21"/>
          <w:rFonts w:ascii="宋体" w:hAnsi="宋体" w:eastAsia="宋体" w:cs="Times New Roman"/>
          <w:b/>
          <w:bCs/>
          <w:sz w:val="44"/>
          <w:szCs w:val="44"/>
        </w:rPr>
        <w:t>年度报告</w:t>
      </w:r>
    </w:p>
    <w:p w14:paraId="28940BB8">
      <w:pPr>
        <w:widowControl/>
        <w:spacing w:after="156" w:line="560" w:lineRule="exact"/>
        <w:jc w:val="center"/>
        <w:textAlignment w:val="baseline"/>
        <w:rPr>
          <w:rStyle w:val="21"/>
          <w:rFonts w:ascii="宋体" w:hAnsi="宋体" w:eastAsia="宋体" w:cs="Times New Roman"/>
          <w:b/>
          <w:bCs/>
          <w:sz w:val="44"/>
          <w:szCs w:val="44"/>
        </w:rPr>
      </w:pPr>
      <w:r>
        <w:rPr>
          <w:rFonts w:hint="eastAsia" w:ascii="宋体" w:hAnsi="宋体"/>
          <w:b/>
          <w:bCs/>
          <w:sz w:val="44"/>
          <w:szCs w:val="44"/>
        </w:rPr>
        <w:t>（</w:t>
      </w:r>
      <w:r>
        <w:rPr>
          <w:rStyle w:val="21"/>
          <w:rFonts w:ascii="宋体" w:hAnsi="宋体" w:eastAsia="宋体" w:cs="Times New Roman"/>
          <w:b/>
          <w:bCs/>
          <w:sz w:val="44"/>
          <w:szCs w:val="44"/>
        </w:rPr>
        <w:t>2021</w:t>
      </w:r>
      <w:r>
        <w:rPr>
          <w:rStyle w:val="21"/>
          <w:rFonts w:hint="eastAsia" w:ascii="宋体" w:hAnsi="宋体" w:eastAsia="宋体" w:cs="Times New Roman"/>
          <w:b/>
          <w:bCs/>
          <w:sz w:val="44"/>
          <w:szCs w:val="44"/>
        </w:rPr>
        <w:t>年度</w:t>
      </w:r>
      <w:r>
        <w:rPr>
          <w:rFonts w:ascii="宋体" w:hAnsi="宋体"/>
          <w:b/>
          <w:bCs/>
          <w:sz w:val="44"/>
          <w:szCs w:val="44"/>
        </w:rPr>
        <w:t>）</w:t>
      </w:r>
    </w:p>
    <w:p w14:paraId="69987344">
      <w:pPr>
        <w:widowControl/>
        <w:spacing w:after="156" w:line="560" w:lineRule="exact"/>
        <w:jc w:val="center"/>
        <w:textAlignment w:val="baseline"/>
        <w:rPr>
          <w:rStyle w:val="21"/>
          <w:rFonts w:cs="Times New Roman" w:eastAsiaTheme="minorHAnsi"/>
          <w:bCs/>
          <w:sz w:val="44"/>
          <w:szCs w:val="44"/>
        </w:rPr>
      </w:pPr>
    </w:p>
    <w:p w14:paraId="101E74AD">
      <w:pPr>
        <w:snapToGrid w:val="0"/>
        <w:jc w:val="center"/>
        <w:textAlignment w:val="baseline"/>
        <w:rPr>
          <w:rStyle w:val="21"/>
          <w:rFonts w:ascii="Times New Roman" w:hAnsi="Times New Roman" w:cs="Times New Roman" w:eastAsiaTheme="minorEastAsia"/>
          <w:b/>
          <w:sz w:val="48"/>
          <w:szCs w:val="20"/>
        </w:rPr>
      </w:pPr>
    </w:p>
    <w:p w14:paraId="28E25E9C">
      <w:pPr>
        <w:snapToGrid w:val="0"/>
        <w:jc w:val="center"/>
        <w:textAlignment w:val="baseline"/>
        <w:rPr>
          <w:rStyle w:val="21"/>
          <w:rFonts w:ascii="Times New Roman" w:hAnsi="Times New Roman" w:cs="Times New Roman" w:eastAsiaTheme="minorEastAsia"/>
          <w:b/>
          <w:sz w:val="48"/>
          <w:szCs w:val="20"/>
        </w:rPr>
      </w:pPr>
    </w:p>
    <w:tbl>
      <w:tblPr>
        <w:tblStyle w:val="10"/>
        <w:tblpPr w:leftFromText="180" w:rightFromText="180" w:vertAnchor="text" w:horzAnchor="page" w:tblpX="3209" w:tblpY="451"/>
        <w:tblOverlap w:val="never"/>
        <w:tblW w:w="5484"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0F550AED">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507" w:type="dxa"/>
            <w:vMerge w:val="restart"/>
            <w:tcBorders>
              <w:top w:val="nil"/>
              <w:left w:val="nil"/>
              <w:bottom w:val="single" w:color="000000" w:sz="4" w:space="0"/>
              <w:right w:val="single" w:color="000000" w:sz="4" w:space="0"/>
            </w:tcBorders>
            <w:vAlign w:val="center"/>
          </w:tcPr>
          <w:p w14:paraId="0DFED1BD">
            <w:pPr>
              <w:ind w:firstLine="301" w:firstLineChars="100"/>
              <w:rPr>
                <w:rStyle w:val="21"/>
                <w:rFonts w:ascii="宋体" w:hAnsi="宋体" w:eastAsia="宋体" w:cs="Times New Roman"/>
                <w:b/>
                <w:spacing w:val="-10"/>
                <w:szCs w:val="32"/>
              </w:rPr>
            </w:pPr>
            <w:r>
              <w:rPr>
                <w:rStyle w:val="21"/>
                <w:rFonts w:hint="eastAsia" w:ascii="宋体" w:hAnsi="宋体" w:eastAsia="宋体" w:cs="Times New Roman"/>
                <w:b/>
                <w:spacing w:val="-10"/>
                <w:szCs w:val="32"/>
              </w:rPr>
              <w:t>学院</w:t>
            </w:r>
          </w:p>
          <w:p w14:paraId="5D588B22">
            <w:pPr>
              <w:rPr>
                <w:rStyle w:val="21"/>
                <w:rFonts w:ascii="宋体" w:hAnsi="宋体" w:eastAsia="宋体" w:cs="Times New Roman"/>
                <w:b/>
                <w:spacing w:val="-10"/>
                <w:szCs w:val="32"/>
              </w:rPr>
            </w:pPr>
            <w:r>
              <w:rPr>
                <w:rStyle w:val="21"/>
                <w:rFonts w:ascii="宋体" w:hAnsi="宋体" w:eastAsia="宋体" w:cs="Times New Roman"/>
                <w:b/>
                <w:spacing w:val="-10"/>
                <w:szCs w:val="32"/>
              </w:rPr>
              <w:t>（公章）</w:t>
            </w:r>
          </w:p>
        </w:tc>
        <w:tc>
          <w:tcPr>
            <w:tcW w:w="3977" w:type="dxa"/>
            <w:tcBorders>
              <w:top w:val="nil"/>
              <w:left w:val="single" w:color="000000" w:sz="4" w:space="0"/>
              <w:bottom w:val="single" w:color="000000" w:sz="4" w:space="0"/>
              <w:right w:val="nil"/>
            </w:tcBorders>
            <w:vAlign w:val="center"/>
          </w:tcPr>
          <w:p w14:paraId="2DF65CA2">
            <w:pPr>
              <w:rPr>
                <w:rStyle w:val="21"/>
                <w:rFonts w:ascii="宋体" w:hAnsi="宋体" w:eastAsia="宋体" w:cs="Times New Roman"/>
                <w:b/>
                <w:spacing w:val="-10"/>
                <w:szCs w:val="32"/>
              </w:rPr>
            </w:pPr>
            <w:r>
              <w:rPr>
                <w:rStyle w:val="21"/>
                <w:rFonts w:ascii="宋体" w:hAnsi="宋体" w:eastAsia="宋体" w:cs="Times New Roman"/>
                <w:b/>
                <w:spacing w:val="-10"/>
                <w:szCs w:val="32"/>
              </w:rPr>
              <w:t>名称：</w:t>
            </w:r>
            <w:r>
              <w:rPr>
                <w:rStyle w:val="21"/>
                <w:rFonts w:hint="eastAsia" w:ascii="宋体" w:hAnsi="宋体" w:eastAsia="宋体" w:cs="Times New Roman"/>
                <w:b/>
                <w:spacing w:val="-10"/>
                <w:szCs w:val="32"/>
              </w:rPr>
              <w:t>城乡规划学</w:t>
            </w:r>
          </w:p>
        </w:tc>
      </w:tr>
      <w:tr w14:paraId="23CB5469">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507" w:type="dxa"/>
            <w:vMerge w:val="continue"/>
            <w:tcBorders>
              <w:top w:val="single" w:color="000000" w:sz="4" w:space="0"/>
              <w:left w:val="nil"/>
              <w:bottom w:val="nil"/>
              <w:right w:val="single" w:color="000000" w:sz="4" w:space="0"/>
            </w:tcBorders>
            <w:vAlign w:val="center"/>
          </w:tcPr>
          <w:p w14:paraId="53753A01">
            <w:pPr>
              <w:rPr>
                <w:rStyle w:val="21"/>
                <w:rFonts w:ascii="Times New Roman" w:hAnsi="Times New Roman" w:cs="Times New Roman" w:eastAsiaTheme="minorEastAsia"/>
                <w:b/>
                <w:spacing w:val="-10"/>
                <w:szCs w:val="32"/>
              </w:rPr>
            </w:pPr>
          </w:p>
        </w:tc>
        <w:tc>
          <w:tcPr>
            <w:tcW w:w="3977" w:type="dxa"/>
            <w:tcBorders>
              <w:top w:val="single" w:color="000000" w:sz="4" w:space="0"/>
              <w:left w:val="single" w:color="000000" w:sz="4" w:space="0"/>
              <w:bottom w:val="nil"/>
              <w:right w:val="nil"/>
            </w:tcBorders>
            <w:vAlign w:val="center"/>
          </w:tcPr>
          <w:p w14:paraId="6F146F4F">
            <w:pPr>
              <w:rPr>
                <w:rStyle w:val="21"/>
                <w:rFonts w:ascii="宋体" w:hAnsi="宋体" w:eastAsia="宋体" w:cs="Times New Roman"/>
                <w:b/>
                <w:spacing w:val="-10"/>
                <w:szCs w:val="32"/>
              </w:rPr>
            </w:pPr>
            <w:r>
              <w:rPr>
                <w:rStyle w:val="21"/>
                <w:rFonts w:ascii="宋体" w:hAnsi="宋体" w:eastAsia="宋体" w:cs="Times New Roman"/>
                <w:b/>
                <w:spacing w:val="-10"/>
                <w:szCs w:val="32"/>
              </w:rPr>
              <w:t>代码：</w:t>
            </w:r>
            <w:r>
              <w:rPr>
                <w:rStyle w:val="21"/>
                <w:rFonts w:hint="eastAsia" w:ascii="宋体" w:hAnsi="宋体" w:eastAsia="宋体" w:cs="Times New Roman"/>
                <w:b/>
                <w:spacing w:val="-10"/>
                <w:szCs w:val="32"/>
              </w:rPr>
              <w:t>0833</w:t>
            </w:r>
          </w:p>
        </w:tc>
      </w:tr>
    </w:tbl>
    <w:p w14:paraId="760C6ECA">
      <w:pPr>
        <w:snapToGrid w:val="0"/>
        <w:spacing w:line="300" w:lineRule="auto"/>
        <w:jc w:val="center"/>
        <w:textAlignment w:val="baseline"/>
        <w:rPr>
          <w:rStyle w:val="21"/>
          <w:rFonts w:ascii="Times New Roman" w:hAnsi="Times New Roman" w:cs="Times New Roman" w:eastAsiaTheme="minorEastAsia"/>
          <w:b/>
          <w:szCs w:val="32"/>
        </w:rPr>
      </w:pPr>
    </w:p>
    <w:p w14:paraId="699230EA">
      <w:pPr>
        <w:widowControl/>
        <w:snapToGrid w:val="0"/>
        <w:spacing w:line="300" w:lineRule="auto"/>
        <w:jc w:val="left"/>
        <w:textAlignment w:val="baseline"/>
        <w:rPr>
          <w:rStyle w:val="21"/>
          <w:rFonts w:ascii="Times New Roman" w:hAnsi="Times New Roman" w:cs="Times New Roman" w:eastAsiaTheme="minorEastAsia"/>
          <w:b/>
          <w:sz w:val="48"/>
          <w:szCs w:val="20"/>
        </w:rPr>
      </w:pPr>
    </w:p>
    <w:p w14:paraId="5DABEEBF">
      <w:pPr>
        <w:spacing w:line="560" w:lineRule="exact"/>
        <w:jc w:val="center"/>
        <w:textAlignment w:val="baseline"/>
        <w:rPr>
          <w:rStyle w:val="21"/>
          <w:rFonts w:ascii="Times New Roman" w:hAnsi="Times New Roman" w:cs="Times New Roman" w:eastAsiaTheme="minorEastAsia"/>
          <w:b/>
          <w:sz w:val="30"/>
          <w:szCs w:val="30"/>
        </w:rPr>
      </w:pPr>
    </w:p>
    <w:p w14:paraId="1B1FC7E5">
      <w:pPr>
        <w:pStyle w:val="22"/>
        <w:widowControl/>
        <w:rPr>
          <w:rStyle w:val="21"/>
          <w:rFonts w:ascii="Times New Roman" w:hAnsi="Times New Roman" w:cs="Times New Roman" w:eastAsiaTheme="minorEastAsia"/>
          <w:color w:val="auto"/>
        </w:rPr>
      </w:pPr>
    </w:p>
    <w:p w14:paraId="5694828D"/>
    <w:p w14:paraId="24089D05"/>
    <w:p w14:paraId="5EF003D6">
      <w:pPr>
        <w:spacing w:line="560" w:lineRule="exact"/>
        <w:jc w:val="center"/>
        <w:textAlignment w:val="baseline"/>
        <w:rPr>
          <w:rStyle w:val="21"/>
          <w:rFonts w:ascii="Times New Roman" w:hAnsi="Times New Roman" w:cs="Times New Roman" w:eastAsiaTheme="minorEastAsia"/>
          <w:b/>
          <w:sz w:val="30"/>
          <w:szCs w:val="30"/>
        </w:rPr>
      </w:pPr>
    </w:p>
    <w:p w14:paraId="06252CC7">
      <w:pPr>
        <w:widowControl/>
        <w:snapToGrid w:val="0"/>
        <w:spacing w:line="240" w:lineRule="atLeast"/>
        <w:jc w:val="center"/>
        <w:textAlignment w:val="baseline"/>
        <w:rPr>
          <w:rStyle w:val="21"/>
          <w:rFonts w:ascii="宋体" w:hAnsi="宋体" w:eastAsia="宋体" w:cs="Times New Roman"/>
          <w:b/>
          <w:spacing w:val="-10"/>
          <w:szCs w:val="32"/>
        </w:rPr>
      </w:pPr>
      <w:r>
        <w:rPr>
          <w:rStyle w:val="21"/>
          <w:rFonts w:hint="eastAsia" w:ascii="宋体" w:hAnsi="宋体" w:eastAsia="宋体" w:cs="Times New Roman"/>
          <w:b/>
          <w:spacing w:val="-10"/>
          <w:szCs w:val="32"/>
        </w:rPr>
        <w:t>建筑学院</w:t>
      </w:r>
    </w:p>
    <w:p w14:paraId="016FB9E3">
      <w:pPr>
        <w:snapToGrid w:val="0"/>
        <w:spacing w:line="240" w:lineRule="atLeast"/>
        <w:jc w:val="center"/>
        <w:textAlignment w:val="baseline"/>
        <w:rPr>
          <w:rStyle w:val="21"/>
          <w:rFonts w:ascii="宋体" w:hAnsi="宋体" w:eastAsia="宋体" w:cs="Times New Roman"/>
          <w:b/>
          <w:spacing w:val="-10"/>
          <w:szCs w:val="32"/>
        </w:rPr>
      </w:pPr>
    </w:p>
    <w:p w14:paraId="516C33CF">
      <w:pPr>
        <w:widowControl/>
        <w:snapToGrid w:val="0"/>
        <w:spacing w:line="240" w:lineRule="atLeast"/>
        <w:jc w:val="center"/>
        <w:textAlignment w:val="baseline"/>
        <w:rPr>
          <w:rFonts w:ascii="仿宋" w:hAnsi="仿宋" w:eastAsia="仿宋" w:cs="Arial"/>
          <w:kern w:val="0"/>
          <w:sz w:val="24"/>
          <w:szCs w:val="24"/>
        </w:rPr>
      </w:pPr>
      <w:r>
        <w:rPr>
          <w:rStyle w:val="21"/>
          <w:rFonts w:ascii="宋体" w:hAnsi="宋体" w:eastAsia="宋体" w:cs="Times New Roman"/>
          <w:b/>
          <w:spacing w:val="-10"/>
          <w:szCs w:val="32"/>
        </w:rPr>
        <w:t>202</w:t>
      </w:r>
      <w:r>
        <w:rPr>
          <w:rStyle w:val="21"/>
          <w:rFonts w:ascii="宋体" w:hAnsi="宋体" w:cs="Times New Roman"/>
          <w:b/>
          <w:spacing w:val="-10"/>
          <w:szCs w:val="32"/>
        </w:rPr>
        <w:t>2</w:t>
      </w:r>
      <w:r>
        <w:rPr>
          <w:rStyle w:val="21"/>
          <w:rFonts w:ascii="宋体" w:hAnsi="宋体" w:eastAsia="宋体" w:cs="Times New Roman"/>
          <w:b/>
          <w:spacing w:val="-10"/>
          <w:szCs w:val="32"/>
        </w:rPr>
        <w:t>年</w:t>
      </w:r>
      <w:r>
        <w:rPr>
          <w:rStyle w:val="21"/>
          <w:rFonts w:hint="eastAsia" w:ascii="宋体" w:hAnsi="宋体" w:cs="Times New Roman"/>
          <w:b/>
          <w:spacing w:val="-10"/>
          <w:szCs w:val="32"/>
        </w:rPr>
        <w:t>5</w:t>
      </w:r>
      <w:r>
        <w:rPr>
          <w:rStyle w:val="21"/>
          <w:rFonts w:ascii="宋体" w:hAnsi="宋体" w:eastAsia="宋体" w:cs="Times New Roman"/>
          <w:b/>
          <w:spacing w:val="-10"/>
          <w:szCs w:val="32"/>
        </w:rPr>
        <w:t>月</w:t>
      </w:r>
      <w:r>
        <w:rPr>
          <w:rStyle w:val="21"/>
          <w:rFonts w:hint="eastAsia" w:ascii="宋体" w:hAnsi="宋体" w:cs="Times New Roman"/>
          <w:b/>
          <w:spacing w:val="-10"/>
          <w:szCs w:val="32"/>
        </w:rPr>
        <w:t>10</w:t>
      </w:r>
      <w:r>
        <w:rPr>
          <w:rStyle w:val="21"/>
          <w:rFonts w:ascii="宋体" w:hAnsi="宋体" w:eastAsia="宋体" w:cs="Times New Roman"/>
          <w:b/>
          <w:spacing w:val="-10"/>
          <w:szCs w:val="32"/>
        </w:rPr>
        <w:t>日</w:t>
      </w:r>
      <w:r>
        <w:rPr>
          <w:rFonts w:ascii="仿宋" w:hAnsi="仿宋" w:eastAsia="仿宋" w:cs="Courier New"/>
          <w:kern w:val="0"/>
          <w:sz w:val="24"/>
          <w:szCs w:val="24"/>
        </w:rPr>
        <w:br w:type="page"/>
      </w:r>
    </w:p>
    <w:p w14:paraId="2649712F">
      <w:pPr>
        <w:pStyle w:val="4"/>
      </w:pPr>
      <w:r>
        <w:t>一、基本情况</w:t>
      </w:r>
    </w:p>
    <w:p w14:paraId="360EAAD9">
      <w:pPr>
        <w:pStyle w:val="2"/>
      </w:pPr>
      <w:r>
        <w:rPr>
          <w:rFonts w:hint="eastAsia"/>
        </w:rPr>
        <w:t>1</w:t>
      </w:r>
      <w:r>
        <w:t>.1学位授权点发展历史及内涵</w:t>
      </w:r>
    </w:p>
    <w:p w14:paraId="21F64CEC">
      <w:pPr>
        <w:spacing w:line="360" w:lineRule="auto"/>
        <w:ind w:firstLine="560" w:firstLineChars="200"/>
        <w:rPr>
          <w:rFonts w:ascii="宋体" w:hAnsi="宋体" w:cs="宋体"/>
          <w:szCs w:val="24"/>
        </w:rPr>
      </w:pPr>
      <w:r>
        <w:rPr>
          <w:rFonts w:hint="eastAsia" w:ascii="宋体" w:hAnsi="宋体" w:cs="宋体"/>
          <w:szCs w:val="24"/>
        </w:rPr>
        <w:t>天津城建大学城乡规划学是天津市属高校中唯一的城乡规划学硕士一级学位授权点</w:t>
      </w:r>
      <w:r>
        <w:rPr>
          <w:rFonts w:hint="eastAsia" w:ascii="宋体" w:hAnsi="宋体" w:cs="宋体"/>
          <w:szCs w:val="24"/>
          <w:lang w:eastAsia="zh-CN"/>
        </w:rPr>
        <w:t>，</w:t>
      </w:r>
      <w:r>
        <w:rPr>
          <w:rFonts w:hint="eastAsia" w:ascii="宋体" w:hAnsi="宋体" w:cs="宋体"/>
          <w:szCs w:val="24"/>
        </w:rPr>
        <w:t>是天津市城乡规划领域应用型工程技术和管理人才的重要培养基地。2006年获批“城市规划与设计”二级学科硕士点，2011年获批“城乡规划学”一级学科硕士点</w:t>
      </w:r>
      <w:r>
        <w:rPr>
          <w:rFonts w:hint="eastAsia" w:ascii="宋体" w:hAnsi="宋体" w:cs="宋体"/>
          <w:szCs w:val="24"/>
          <w:lang w:eastAsia="zh-CN"/>
        </w:rPr>
        <w:t>，</w:t>
      </w:r>
      <w:r>
        <w:rPr>
          <w:rFonts w:hint="eastAsia" w:ascii="宋体" w:hAnsi="宋体" w:cs="宋体"/>
          <w:szCs w:val="24"/>
        </w:rPr>
        <w:t>同年获批“天津市重点学科”</w:t>
      </w:r>
      <w:r>
        <w:rPr>
          <w:rFonts w:hint="eastAsia" w:ascii="宋体" w:hAnsi="宋体" w:cs="宋体"/>
          <w:szCs w:val="24"/>
          <w:lang w:eastAsia="zh-CN"/>
        </w:rPr>
        <w:t>，</w:t>
      </w:r>
      <w:r>
        <w:rPr>
          <w:rFonts w:hint="eastAsia" w:ascii="宋体" w:hAnsi="宋体" w:cs="宋体"/>
          <w:szCs w:val="24"/>
        </w:rPr>
        <w:t>2017年城乡规划学科群获批天津市优势特色学科群，2019年通过全国高等学校城乡规划专业硕士研究生教育评估。</w:t>
      </w:r>
    </w:p>
    <w:p w14:paraId="0EC2C8AB">
      <w:pPr>
        <w:spacing w:line="360" w:lineRule="auto"/>
        <w:ind w:firstLine="560" w:firstLineChars="200"/>
        <w:rPr>
          <w:rFonts w:ascii="宋体" w:hAnsi="宋体" w:cs="宋体"/>
          <w:szCs w:val="24"/>
        </w:rPr>
      </w:pPr>
      <w:r>
        <w:rPr>
          <w:rFonts w:hint="eastAsia" w:ascii="宋体" w:hAnsi="宋体" w:cs="宋体"/>
          <w:szCs w:val="24"/>
        </w:rPr>
        <w:t>依托学院传统优势，本学位点发展瞄准国际学科发展前沿，坚持产学研一体化建设，实现学科的全面均衡发展。近年来，先后参与了天津市绿色住区建设技术工程中心、天津城镇化与新农村建设研究中心、天津市人居环境教学示范中心、城市绿色发展研究中心、天津绿色建筑协同创新中心5个天津市级学科平台。</w:t>
      </w:r>
    </w:p>
    <w:p w14:paraId="10242653">
      <w:pPr>
        <w:pStyle w:val="2"/>
      </w:pPr>
      <w:r>
        <w:rPr>
          <w:rFonts w:hint="eastAsia"/>
        </w:rPr>
        <w:t>1</w:t>
      </w:r>
      <w:r>
        <w:t>.2培养目标与学位标准</w:t>
      </w:r>
    </w:p>
    <w:p w14:paraId="1E1CD3DA">
      <w:pPr>
        <w:widowControl/>
        <w:spacing w:line="360" w:lineRule="auto"/>
        <w:ind w:firstLine="560" w:firstLineChars="200"/>
        <w:rPr>
          <w:rFonts w:hint="eastAsia" w:ascii="宋体" w:hAnsi="宋体" w:cs="宋体"/>
        </w:rPr>
      </w:pPr>
      <w:r>
        <w:rPr>
          <w:rFonts w:hint="eastAsia" w:ascii="宋体" w:hAnsi="宋体"/>
          <w:szCs w:val="28"/>
        </w:rPr>
        <w:t>（</w:t>
      </w:r>
      <w:r>
        <w:rPr>
          <w:rFonts w:ascii="宋体" w:hAnsi="宋体"/>
          <w:szCs w:val="28"/>
        </w:rPr>
        <w:t>1）</w:t>
      </w:r>
      <w:r>
        <w:rPr>
          <w:rFonts w:hint="eastAsia" w:ascii="宋体" w:hAnsi="宋体" w:cs="宋体"/>
        </w:rPr>
        <w:t>培养目标</w:t>
      </w:r>
    </w:p>
    <w:p w14:paraId="364C50E0">
      <w:pPr>
        <w:spacing w:line="360" w:lineRule="auto"/>
        <w:ind w:firstLine="840" w:firstLineChars="300"/>
        <w:rPr>
          <w:rFonts w:ascii="宋体" w:hAnsi="宋体" w:cs="宋体"/>
        </w:rPr>
      </w:pPr>
      <w:r>
        <w:rPr>
          <w:rFonts w:hint="eastAsia" w:ascii="宋体" w:hAnsi="宋体" w:cs="宋体"/>
        </w:rPr>
        <w:t>坚持“立德树人，以人为本”，立足国家的人才需求，建立思政教育体系，实现课程</w:t>
      </w:r>
      <w:r>
        <w:rPr>
          <w:rFonts w:hint="eastAsia" w:ascii="宋体" w:hAnsi="宋体" w:cs="宋体"/>
          <w:lang w:val="en-US" w:eastAsia="zh-CN"/>
        </w:rPr>
        <w:t>智</w:t>
      </w:r>
      <w:r>
        <w:rPr>
          <w:rFonts w:hint="eastAsia" w:ascii="宋体" w:hAnsi="宋体" w:cs="宋体"/>
        </w:rPr>
        <w:t>育与德育的统一，培养研究生正确的人生观、世界观和价值观；坚持“关注国家需求，聚焦区域发展”，培养学生掌握城乡规划学科基础理论、基本方法和技能的能力，使他们拥有扎实、全面、综合的专业知识体系和应用实践能力，在国家和区域建设中具备承担城乡规划及设计、规划管理、规划研究等工作的能力；坚持“五育并举、多元培养”，发挥天津市人居环境教学示范中心等多个教学平台以及学校七大学科专业群的协同育人优势，构建多元化联合培养模式，全面提升学生科研创新能力，使其成长为集知识体系、基本技能、实践能力于一身的创新复合型人才。</w:t>
      </w:r>
    </w:p>
    <w:p w14:paraId="082C8378">
      <w:pPr>
        <w:widowControl/>
        <w:spacing w:line="360" w:lineRule="auto"/>
        <w:ind w:firstLine="560" w:firstLineChars="200"/>
        <w:rPr>
          <w:rFonts w:hint="eastAsia" w:ascii="宋体" w:hAnsi="宋体" w:cs="宋体"/>
        </w:rPr>
      </w:pPr>
      <w:r>
        <w:rPr>
          <w:rFonts w:hint="eastAsia" w:ascii="宋体" w:hAnsi="宋体"/>
          <w:szCs w:val="28"/>
        </w:rPr>
        <w:t>（</w:t>
      </w:r>
      <w:r>
        <w:rPr>
          <w:rFonts w:hint="eastAsia" w:ascii="宋体" w:hAnsi="宋体"/>
          <w:szCs w:val="28"/>
          <w:lang w:val="en-US" w:eastAsia="zh-CN"/>
        </w:rPr>
        <w:t>2</w:t>
      </w:r>
      <w:r>
        <w:rPr>
          <w:rFonts w:ascii="宋体" w:hAnsi="宋体"/>
          <w:szCs w:val="28"/>
        </w:rPr>
        <w:t>）</w:t>
      </w:r>
      <w:r>
        <w:rPr>
          <w:rFonts w:hint="eastAsia" w:ascii="宋体" w:hAnsi="宋体" w:cs="宋体"/>
        </w:rPr>
        <w:t>学位标准</w:t>
      </w:r>
    </w:p>
    <w:p w14:paraId="57011AE3">
      <w:pPr>
        <w:widowControl/>
        <w:shd w:val="clear" w:color="auto" w:fill="FFFFFF"/>
        <w:ind w:firstLine="560" w:firstLineChars="200"/>
        <w:jc w:val="left"/>
        <w:rPr>
          <w:rFonts w:ascii="宋体" w:hAnsi="宋体" w:cs="Arial"/>
          <w:kern w:val="0"/>
          <w:szCs w:val="28"/>
        </w:rPr>
      </w:pPr>
      <w:r>
        <w:rPr>
          <w:rFonts w:ascii="宋体" w:hAnsi="宋体" w:cs="Arial"/>
          <w:kern w:val="0"/>
          <w:szCs w:val="28"/>
        </w:rPr>
        <w:t>本学位点学位授予条件，按照《</w:t>
      </w:r>
      <w:r>
        <w:rPr>
          <w:rFonts w:hint="eastAsia" w:ascii="宋体" w:hAnsi="宋体" w:cs="Arial"/>
          <w:kern w:val="0"/>
          <w:szCs w:val="28"/>
        </w:rPr>
        <w:t>天津城建大学硕士学位授予工作实施办法</w:t>
      </w:r>
      <w:r>
        <w:rPr>
          <w:rFonts w:ascii="宋体" w:hAnsi="宋体" w:cs="Arial"/>
          <w:kern w:val="0"/>
          <w:szCs w:val="28"/>
        </w:rPr>
        <w:t>》（</w:t>
      </w:r>
      <w:r>
        <w:rPr>
          <w:rFonts w:hint="eastAsia" w:ascii="宋体" w:hAnsi="宋体" w:cs="Arial"/>
          <w:kern w:val="0"/>
          <w:szCs w:val="28"/>
        </w:rPr>
        <w:t>天城大政〔</w:t>
      </w:r>
      <w:r>
        <w:rPr>
          <w:rFonts w:ascii="宋体" w:hAnsi="宋体" w:cs="Arial"/>
          <w:kern w:val="0"/>
          <w:szCs w:val="28"/>
        </w:rPr>
        <w:t>2021〕44号）执行。</w:t>
      </w:r>
      <w:r>
        <w:rPr>
          <w:rFonts w:hint="eastAsia" w:ascii="宋体" w:hAnsi="宋体" w:cs="Arial"/>
          <w:kern w:val="0"/>
          <w:szCs w:val="28"/>
        </w:rPr>
        <w:t>须</w:t>
      </w:r>
      <w:r>
        <w:rPr>
          <w:rFonts w:ascii="宋体" w:hAnsi="宋体" w:cs="Arial"/>
          <w:kern w:val="0"/>
          <w:szCs w:val="28"/>
        </w:rPr>
        <w:t>符合</w:t>
      </w:r>
      <w:r>
        <w:rPr>
          <w:rFonts w:hint="eastAsia" w:ascii="宋体" w:hAnsi="宋体" w:cs="Arial"/>
          <w:kern w:val="0"/>
          <w:szCs w:val="28"/>
        </w:rPr>
        <w:t>：</w:t>
      </w:r>
    </w:p>
    <w:p w14:paraId="23762944">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w:t>
      </w:r>
      <w:r>
        <w:rPr>
          <w:rFonts w:hint="eastAsia" w:ascii="宋体" w:hAnsi="宋体" w:cs="Arial"/>
          <w:kern w:val="0"/>
          <w:szCs w:val="28"/>
          <w:lang w:val="en-US" w:eastAsia="zh-CN"/>
        </w:rPr>
        <w:t>一</w:t>
      </w:r>
      <w:r>
        <w:rPr>
          <w:rFonts w:hint="eastAsia" w:ascii="宋体" w:hAnsi="宋体" w:cs="Arial"/>
          <w:kern w:val="0"/>
          <w:szCs w:val="28"/>
        </w:rPr>
        <w:t>）拥护中国共产党的领导，拥护社会主义制度，热爱祖国，遵纪守法，有较强的社会责任感，愿意为社会主义现代化建设服务；</w:t>
      </w:r>
    </w:p>
    <w:p w14:paraId="56780218">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w:t>
      </w:r>
      <w:r>
        <w:rPr>
          <w:rFonts w:hint="eastAsia" w:ascii="宋体" w:hAnsi="宋体" w:cs="Arial"/>
          <w:kern w:val="0"/>
          <w:szCs w:val="28"/>
          <w:lang w:val="en-US" w:eastAsia="zh-CN"/>
        </w:rPr>
        <w:t>二</w:t>
      </w:r>
      <w:r>
        <w:rPr>
          <w:rFonts w:hint="eastAsia" w:ascii="宋体" w:hAnsi="宋体" w:cs="Arial"/>
          <w:kern w:val="0"/>
          <w:szCs w:val="28"/>
        </w:rPr>
        <w:t>）在规定学习期限内，完成本人培养计划中全部课程学习及必修环节，取得规定学分；</w:t>
      </w:r>
    </w:p>
    <w:p w14:paraId="5915846F">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w:t>
      </w:r>
      <w:r>
        <w:rPr>
          <w:rFonts w:hint="eastAsia" w:ascii="宋体" w:hAnsi="宋体" w:cs="Arial"/>
          <w:kern w:val="0"/>
          <w:szCs w:val="28"/>
          <w:lang w:val="en-US" w:eastAsia="zh-CN"/>
        </w:rPr>
        <w:t>三</w:t>
      </w:r>
      <w:r>
        <w:rPr>
          <w:rFonts w:hint="eastAsia" w:ascii="宋体" w:hAnsi="宋体" w:cs="Arial"/>
          <w:kern w:val="0"/>
          <w:szCs w:val="28"/>
        </w:rPr>
        <w:t>）完成学位论文研究和撰写工作，且通过论文答辩；</w:t>
      </w:r>
    </w:p>
    <w:p w14:paraId="6ECE5DA4">
      <w:pPr>
        <w:spacing w:line="360" w:lineRule="auto"/>
        <w:ind w:firstLine="560" w:firstLineChars="200"/>
        <w:rPr>
          <w:rFonts w:ascii="宋体" w:hAnsi="宋体"/>
          <w:szCs w:val="28"/>
        </w:rPr>
      </w:pPr>
      <w:r>
        <w:rPr>
          <w:rFonts w:hint="eastAsia" w:ascii="宋体" w:hAnsi="宋体"/>
          <w:szCs w:val="28"/>
        </w:rPr>
        <w:t>（</w:t>
      </w:r>
      <w:r>
        <w:rPr>
          <w:rFonts w:hint="eastAsia" w:ascii="宋体" w:hAnsi="宋体"/>
          <w:szCs w:val="28"/>
          <w:lang w:val="en-US" w:eastAsia="zh-CN"/>
        </w:rPr>
        <w:t>四</w:t>
      </w:r>
      <w:r>
        <w:rPr>
          <w:rFonts w:hint="eastAsia" w:ascii="宋体" w:hAnsi="宋体"/>
          <w:szCs w:val="28"/>
        </w:rPr>
        <w:t>）未同时向另一个学位授予单位提出学位申请（学校与其他高校联合培养，明确授予双方学位的情况除外）。</w:t>
      </w:r>
    </w:p>
    <w:p w14:paraId="0CA039DF">
      <w:pPr>
        <w:pStyle w:val="4"/>
      </w:pPr>
      <w:r>
        <w:t>二、基本条件</w:t>
      </w:r>
    </w:p>
    <w:p w14:paraId="322A1FEC">
      <w:pPr>
        <w:pStyle w:val="2"/>
      </w:pPr>
      <w:r>
        <w:rPr>
          <w:rStyle w:val="19"/>
          <w:b/>
          <w:bCs w:val="0"/>
          <w:szCs w:val="28"/>
        </w:rPr>
        <w:t>2.1培养</w:t>
      </w:r>
      <w:r>
        <w:t>方向</w:t>
      </w:r>
    </w:p>
    <w:p w14:paraId="49838D2D">
      <w:pPr>
        <w:widowControl/>
        <w:spacing w:line="360" w:lineRule="auto"/>
        <w:ind w:firstLine="560" w:firstLineChars="200"/>
        <w:rPr>
          <w:rFonts w:ascii="宋体" w:hAnsi="宋体" w:cs="宋体"/>
        </w:rPr>
      </w:pPr>
      <w:r>
        <w:rPr>
          <w:rFonts w:hint="eastAsia" w:ascii="宋体" w:hAnsi="宋体" w:cs="宋体"/>
        </w:rPr>
        <w:t>聚焦城乡规划领域前沿，紧密结合国家对城乡地域发展的战略要求，依托学校城建特色七大学科专业群，通过行业内外联动、学科交叉融合，形成了</w:t>
      </w:r>
      <w:bookmarkStart w:id="0" w:name="OLE_LINK1"/>
      <w:r>
        <w:rPr>
          <w:rFonts w:hint="eastAsia" w:ascii="宋体" w:hAnsi="宋体" w:cs="宋体"/>
        </w:rPr>
        <w:t>城乡规划设计与韧性城市研究、社区更新与历史文化遗产保护规划以及空间经济与城乡规划理论研究</w:t>
      </w:r>
      <w:bookmarkEnd w:id="0"/>
      <w:r>
        <w:rPr>
          <w:rFonts w:hint="eastAsia" w:ascii="宋体" w:hAnsi="宋体" w:cs="宋体"/>
        </w:rPr>
        <w:t>三个学科方向。</w:t>
      </w:r>
    </w:p>
    <w:p w14:paraId="2ABC04E4">
      <w:pPr>
        <w:widowControl/>
        <w:spacing w:line="360" w:lineRule="auto"/>
        <w:ind w:firstLine="560" w:firstLineChars="200"/>
        <w:rPr>
          <w:rFonts w:ascii="宋体" w:hAnsi="宋体" w:cs="宋体"/>
        </w:rPr>
      </w:pPr>
      <w:r>
        <w:rPr>
          <w:rFonts w:hint="eastAsia" w:ascii="宋体" w:hAnsi="宋体" w:cs="宋体"/>
        </w:rPr>
        <w:t>（1）城乡规划设计与韧性城市研究</w:t>
      </w:r>
    </w:p>
    <w:p w14:paraId="1B5EDF76">
      <w:pPr>
        <w:widowControl/>
        <w:spacing w:line="360" w:lineRule="auto"/>
        <w:ind w:firstLine="560" w:firstLineChars="200"/>
        <w:rPr>
          <w:rFonts w:ascii="宋体" w:hAnsi="宋体" w:cs="宋体"/>
        </w:rPr>
      </w:pPr>
      <w:r>
        <w:rPr>
          <w:rFonts w:hint="eastAsia" w:ascii="宋体" w:hAnsi="宋体" w:cs="宋体"/>
        </w:rPr>
        <w:t>以城乡规划原理和方法论为主要研究内容，以村镇规划标准与技术研究和生态城市与绿色交通研究为优势特色。聚焦乡村振兴和城市抗风险能力建设，建构村镇聚落生态重构与乡土文化振兴的创新模式，建立“开发边界智慧划定与智能算法优选”的城镇韧性自适应规划决策技术体系，总结适用于地域特色的多元城乡规划设计理念与方法。</w:t>
      </w:r>
    </w:p>
    <w:p w14:paraId="1B6A14C6">
      <w:pPr>
        <w:widowControl/>
        <w:spacing w:line="360" w:lineRule="auto"/>
        <w:ind w:firstLine="560" w:firstLineChars="200"/>
        <w:rPr>
          <w:rFonts w:ascii="宋体" w:hAnsi="宋体" w:cs="宋体"/>
        </w:rPr>
      </w:pPr>
      <w:r>
        <w:rPr>
          <w:rFonts w:hint="eastAsia" w:ascii="宋体" w:hAnsi="宋体" w:cs="宋体"/>
        </w:rPr>
        <w:t>（2）社区更新与历史文化遗产保护规划</w:t>
      </w:r>
    </w:p>
    <w:p w14:paraId="4A3A5B9B">
      <w:pPr>
        <w:widowControl/>
        <w:spacing w:line="360" w:lineRule="auto"/>
        <w:ind w:firstLine="560" w:firstLineChars="200"/>
        <w:rPr>
          <w:rFonts w:ascii="宋体" w:hAnsi="宋体" w:cs="宋体"/>
        </w:rPr>
      </w:pPr>
      <w:r>
        <w:rPr>
          <w:rFonts w:hint="eastAsia" w:ascii="宋体" w:hAnsi="宋体" w:cs="宋体"/>
        </w:rPr>
        <w:t>以城乡历史发展与理论为主要研究内容，以建构“历史文化遗产价值评价—安全防范与信息化管理—保护与活化模式”体系为优势特色。针对我国城市建设发展历史，探讨影响城市建设的因素与空间发展规律。聚焦天津五大道等历史文化街区的保护，深化传统社区更新与历史街区活化的理论和方法。分析城市快速发展与历史文化遗产保护的矛盾，研究城市历史文化遗产保护规划与设计、乡镇历史文化遗产保护规划与设计的方法。</w:t>
      </w:r>
    </w:p>
    <w:p w14:paraId="05D902E1">
      <w:pPr>
        <w:widowControl/>
        <w:spacing w:line="360" w:lineRule="auto"/>
        <w:ind w:firstLine="560" w:firstLineChars="200"/>
        <w:rPr>
          <w:rFonts w:ascii="宋体" w:hAnsi="宋体" w:cs="宋体"/>
        </w:rPr>
      </w:pPr>
      <w:r>
        <w:rPr>
          <w:rFonts w:hint="eastAsia" w:ascii="宋体" w:hAnsi="宋体" w:cs="宋体"/>
        </w:rPr>
        <w:t>（3）空间经济与城乡规划理论研究</w:t>
      </w:r>
    </w:p>
    <w:p w14:paraId="2549C2EC">
      <w:pPr>
        <w:widowControl/>
        <w:spacing w:line="360" w:lineRule="auto"/>
        <w:ind w:firstLine="560" w:firstLineChars="200"/>
        <w:rPr>
          <w:rFonts w:ascii="宋体" w:hAnsi="宋体" w:cs="宋体"/>
        </w:rPr>
      </w:pPr>
      <w:r>
        <w:rPr>
          <w:rFonts w:hint="eastAsia" w:ascii="宋体" w:hAnsi="宋体" w:cs="宋体"/>
        </w:rPr>
        <w:t>以区域发展政策、区域分析规划、区域发展模式为主要研究内容，以社会空间与城乡空间学科交叉研究为优势特色，聚焦城乡空间高效利用，深入研究交通和产业与空间价值的关系，提出了市场经济下空间规划的方向和路径。</w:t>
      </w:r>
    </w:p>
    <w:p w14:paraId="587F650E">
      <w:pPr>
        <w:pStyle w:val="2"/>
        <w:rPr>
          <w:rStyle w:val="19"/>
          <w:b/>
          <w:bCs/>
        </w:rPr>
      </w:pPr>
      <w:r>
        <w:rPr>
          <w:rStyle w:val="19"/>
          <w:rFonts w:hint="eastAsia"/>
          <w:b/>
          <w:bCs/>
        </w:rPr>
        <w:t>2</w:t>
      </w:r>
      <w:r>
        <w:rPr>
          <w:rStyle w:val="19"/>
          <w:b/>
          <w:bCs/>
        </w:rPr>
        <w:t>.2师资队伍</w:t>
      </w:r>
    </w:p>
    <w:p w14:paraId="27DA3C5B">
      <w:pPr>
        <w:spacing w:line="360" w:lineRule="auto"/>
        <w:ind w:firstLine="560" w:firstLineChars="200"/>
        <w:rPr>
          <w:rFonts w:ascii="宋体" w:hAnsi="宋体"/>
          <w:szCs w:val="28"/>
        </w:rPr>
      </w:pPr>
      <w:r>
        <w:rPr>
          <w:rFonts w:hint="eastAsia" w:ascii="宋体" w:hAnsi="宋体" w:cs="宋体"/>
          <w:szCs w:val="24"/>
        </w:rPr>
        <w:t>城乡规划学硕士授权点现有专任教师</w:t>
      </w:r>
      <w:r>
        <w:rPr>
          <w:rFonts w:ascii="宋体" w:hAnsi="宋体" w:cs="宋体"/>
          <w:szCs w:val="24"/>
        </w:rPr>
        <w:t>31</w:t>
      </w:r>
      <w:r>
        <w:rPr>
          <w:rFonts w:hint="eastAsia" w:ascii="宋体" w:hAnsi="宋体" w:cs="宋体"/>
          <w:szCs w:val="24"/>
        </w:rPr>
        <w:t>人，其中</w:t>
      </w:r>
      <w:r>
        <w:rPr>
          <w:rFonts w:ascii="宋体" w:hAnsi="宋体"/>
          <w:szCs w:val="28"/>
        </w:rPr>
        <w:t>教授</w:t>
      </w:r>
      <w:r>
        <w:rPr>
          <w:rFonts w:ascii="宋体" w:hAnsi="宋体" w:cs="宋体"/>
          <w:szCs w:val="24"/>
        </w:rPr>
        <w:t>7</w:t>
      </w:r>
      <w:r>
        <w:rPr>
          <w:rFonts w:hint="eastAsia" w:ascii="宋体" w:hAnsi="宋体" w:cs="宋体"/>
          <w:szCs w:val="24"/>
        </w:rPr>
        <w:t>人，副</w:t>
      </w:r>
      <w:r>
        <w:rPr>
          <w:rFonts w:ascii="宋体" w:hAnsi="宋体"/>
          <w:szCs w:val="28"/>
        </w:rPr>
        <w:t>教授</w:t>
      </w:r>
      <w:r>
        <w:rPr>
          <w:rFonts w:ascii="宋体" w:hAnsi="宋体" w:cs="宋体"/>
          <w:szCs w:val="24"/>
        </w:rPr>
        <w:t>9</w:t>
      </w:r>
      <w:r>
        <w:rPr>
          <w:rFonts w:hint="eastAsia" w:ascii="宋体" w:hAnsi="宋体" w:cs="宋体"/>
          <w:szCs w:val="24"/>
        </w:rPr>
        <w:t>人，讲师1</w:t>
      </w:r>
      <w:r>
        <w:rPr>
          <w:rFonts w:ascii="宋体" w:hAnsi="宋体" w:cs="宋体"/>
          <w:szCs w:val="24"/>
        </w:rPr>
        <w:t>5</w:t>
      </w:r>
      <w:r>
        <w:rPr>
          <w:rFonts w:hint="eastAsia" w:ascii="宋体" w:hAnsi="宋体" w:cs="宋体"/>
          <w:szCs w:val="24"/>
        </w:rPr>
        <w:t>人。</w:t>
      </w:r>
      <w:r>
        <w:rPr>
          <w:rFonts w:hint="eastAsia" w:ascii="宋体" w:hAnsi="宋体" w:cs="宋体"/>
        </w:rPr>
        <w:t>通过人才培养与引进，城乡规划学科师资规模不断扩大，聘请国家勘察设计大师及天津市规划大师为兼职导师6人，聘请中国城市规划设计研究院等单位的知名专家为企业导师50余名。引进美国华盛顿州立大学、内华达大学（里诺）和威斯康辛大学密尔沃基分校教授3人。专任教师中教授6人，省级人才计划入选者4人，“十三五”天津市高</w:t>
      </w:r>
      <w:r>
        <w:rPr>
          <w:rFonts w:hint="eastAsia" w:ascii="宋体" w:hAnsi="宋体" w:cs="宋体"/>
          <w:lang w:val="en-US" w:eastAsia="zh-CN"/>
        </w:rPr>
        <w:t>等学</w:t>
      </w:r>
      <w:r>
        <w:rPr>
          <w:rFonts w:hint="eastAsia" w:ascii="宋体" w:hAnsi="宋体" w:cs="宋体"/>
        </w:rPr>
        <w:t>校创新团队2支，多名教授兼任天津市城市规划学会、天津市城市规划协会等理事。创建校级导师团队，采取“校内+企业”导师联合的双导师制，</w:t>
      </w:r>
      <w:r>
        <w:rPr>
          <w:rFonts w:hint="eastAsia" w:ascii="宋体" w:hAnsi="宋体" w:cs="宋体"/>
          <w:szCs w:val="24"/>
        </w:rPr>
        <w:t>师资规模得到扩充，师资结构和学缘背景得到优化。</w:t>
      </w:r>
      <w:r>
        <w:rPr>
          <w:rFonts w:hint="eastAsia" w:ascii="宋体" w:hAnsi="宋体" w:cs="宋体"/>
        </w:rPr>
        <w:t>构建研究生课程教学改革与实践综合创新实践平台，指导学生进行专业类实践活动。</w:t>
      </w:r>
      <w:r>
        <w:rPr>
          <w:rFonts w:hint="eastAsia" w:ascii="宋体" w:hAnsi="宋体"/>
          <w:szCs w:val="28"/>
        </w:rPr>
        <w:t>各培养方向带头人与学术骨干如表2-1所示。</w:t>
      </w:r>
    </w:p>
    <w:p w14:paraId="5DD8A4DF">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表2-1城乡规划学专业硕士生导师团队研究方向一览表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603"/>
        <w:gridCol w:w="2508"/>
        <w:gridCol w:w="2611"/>
        <w:gridCol w:w="2754"/>
      </w:tblGrid>
      <w:tr w14:paraId="5FC0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5" w:hRule="atLeast"/>
          <w:tblHeader/>
          <w:jc w:val="center"/>
        </w:trPr>
        <w:tc>
          <w:tcPr>
            <w:tcW w:w="0" w:type="auto"/>
            <w:vAlign w:val="center"/>
          </w:tcPr>
          <w:p w14:paraId="360A0C01">
            <w:pPr>
              <w:jc w:val="center"/>
              <w:rPr>
                <w:rFonts w:ascii="宋体" w:hAnsi="宋体"/>
                <w:b/>
                <w:sz w:val="21"/>
                <w:szCs w:val="21"/>
              </w:rPr>
            </w:pPr>
            <w:r>
              <w:rPr>
                <w:rFonts w:ascii="宋体" w:hAnsi="宋体"/>
                <w:b/>
                <w:sz w:val="21"/>
                <w:szCs w:val="21"/>
              </w:rPr>
              <w:t>研究方向</w:t>
            </w:r>
          </w:p>
        </w:tc>
        <w:tc>
          <w:tcPr>
            <w:tcW w:w="2508" w:type="dxa"/>
            <w:vAlign w:val="center"/>
          </w:tcPr>
          <w:p w14:paraId="16403D14">
            <w:pPr>
              <w:jc w:val="center"/>
              <w:rPr>
                <w:rFonts w:ascii="宋体" w:hAnsi="宋体"/>
                <w:b/>
                <w:sz w:val="21"/>
                <w:szCs w:val="21"/>
              </w:rPr>
            </w:pPr>
            <w:r>
              <w:rPr>
                <w:rFonts w:ascii="宋体" w:hAnsi="宋体"/>
                <w:b/>
                <w:sz w:val="21"/>
                <w:szCs w:val="21"/>
              </w:rPr>
              <w:t>城乡规划与设计</w:t>
            </w:r>
          </w:p>
        </w:tc>
        <w:tc>
          <w:tcPr>
            <w:tcW w:w="2611" w:type="dxa"/>
            <w:vAlign w:val="center"/>
          </w:tcPr>
          <w:p w14:paraId="35513142">
            <w:pPr>
              <w:jc w:val="center"/>
              <w:rPr>
                <w:rFonts w:ascii="宋体" w:hAnsi="宋体"/>
                <w:b/>
                <w:sz w:val="21"/>
                <w:szCs w:val="21"/>
              </w:rPr>
            </w:pPr>
            <w:r>
              <w:rPr>
                <w:rFonts w:hint="eastAsia" w:ascii="宋体" w:hAnsi="宋体"/>
                <w:b/>
                <w:sz w:val="21"/>
                <w:szCs w:val="21"/>
              </w:rPr>
              <w:t>社区更新与历史文化遗产保护规划</w:t>
            </w:r>
          </w:p>
        </w:tc>
        <w:tc>
          <w:tcPr>
            <w:tcW w:w="2754" w:type="dxa"/>
            <w:vAlign w:val="center"/>
          </w:tcPr>
          <w:p w14:paraId="10A5E176">
            <w:pPr>
              <w:jc w:val="center"/>
              <w:rPr>
                <w:rFonts w:ascii="宋体" w:hAnsi="宋体"/>
                <w:b/>
                <w:sz w:val="21"/>
                <w:szCs w:val="21"/>
              </w:rPr>
            </w:pPr>
            <w:r>
              <w:rPr>
                <w:rFonts w:hint="eastAsia" w:ascii="宋体" w:hAnsi="宋体"/>
                <w:b/>
                <w:sz w:val="21"/>
                <w:szCs w:val="21"/>
              </w:rPr>
              <w:t>空间经济与城乡规划理论研究</w:t>
            </w:r>
          </w:p>
        </w:tc>
      </w:tr>
      <w:tr w14:paraId="448B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96" w:hRule="atLeast"/>
          <w:jc w:val="center"/>
        </w:trPr>
        <w:tc>
          <w:tcPr>
            <w:tcW w:w="0" w:type="auto"/>
            <w:vAlign w:val="center"/>
          </w:tcPr>
          <w:p w14:paraId="38FDFE8F">
            <w:pPr>
              <w:jc w:val="center"/>
              <w:rPr>
                <w:rFonts w:ascii="宋体" w:hAnsi="宋体"/>
                <w:b/>
                <w:sz w:val="21"/>
                <w:szCs w:val="21"/>
              </w:rPr>
            </w:pPr>
            <w:r>
              <w:rPr>
                <w:rFonts w:ascii="宋体" w:hAnsi="宋体"/>
                <w:b/>
                <w:sz w:val="21"/>
                <w:szCs w:val="21"/>
              </w:rPr>
              <w:t>导师</w:t>
            </w:r>
          </w:p>
        </w:tc>
        <w:tc>
          <w:tcPr>
            <w:tcW w:w="2508" w:type="dxa"/>
            <w:vAlign w:val="center"/>
          </w:tcPr>
          <w:p w14:paraId="4FA1EC1F">
            <w:pPr>
              <w:wordWrap w:val="0"/>
              <w:topLinePunct/>
              <w:jc w:val="center"/>
              <w:rPr>
                <w:rFonts w:ascii="宋体" w:hAnsi="宋体"/>
                <w:sz w:val="21"/>
                <w:szCs w:val="21"/>
              </w:rPr>
            </w:pPr>
            <w:r>
              <w:rPr>
                <w:rFonts w:ascii="宋体" w:hAnsi="宋体"/>
                <w:sz w:val="21"/>
                <w:szCs w:val="21"/>
              </w:rPr>
              <w:t>张戈</w:t>
            </w:r>
            <w:r>
              <w:rPr>
                <w:rFonts w:hint="eastAsia" w:ascii="宋体" w:hAnsi="宋体"/>
                <w:sz w:val="21"/>
                <w:szCs w:val="21"/>
              </w:rPr>
              <w:t>、杨艳红、宫同伟、曾穗平、周长林</w:t>
            </w:r>
            <w:r>
              <w:rPr>
                <w:rFonts w:hint="eastAsia" w:ascii="宋体" w:hAnsi="宋体"/>
                <w:b/>
                <w:sz w:val="21"/>
                <w:szCs w:val="21"/>
                <w:vertAlign w:val="superscript"/>
              </w:rPr>
              <w:t>*</w:t>
            </w:r>
            <w:r>
              <w:rPr>
                <w:rFonts w:hint="eastAsia" w:ascii="宋体" w:hAnsi="宋体"/>
                <w:sz w:val="21"/>
                <w:szCs w:val="21"/>
              </w:rPr>
              <w:t>、曾鹏</w:t>
            </w:r>
            <w:r>
              <w:rPr>
                <w:rFonts w:hint="eastAsia" w:ascii="宋体" w:hAnsi="宋体"/>
                <w:b/>
                <w:sz w:val="21"/>
                <w:szCs w:val="21"/>
                <w:vertAlign w:val="superscript"/>
              </w:rPr>
              <w:t>*</w:t>
            </w:r>
            <w:r>
              <w:rPr>
                <w:rFonts w:hint="eastAsia" w:ascii="宋体" w:hAnsi="宋体"/>
                <w:sz w:val="21"/>
                <w:szCs w:val="21"/>
              </w:rPr>
              <w:t>、许熙巍</w:t>
            </w:r>
            <w:r>
              <w:rPr>
                <w:rFonts w:hint="eastAsia" w:ascii="宋体" w:hAnsi="宋体"/>
                <w:b/>
                <w:sz w:val="21"/>
                <w:szCs w:val="21"/>
                <w:vertAlign w:val="superscript"/>
              </w:rPr>
              <w:t>*</w:t>
            </w:r>
            <w:r>
              <w:rPr>
                <w:rFonts w:hint="eastAsia" w:ascii="宋体" w:hAnsi="宋体"/>
                <w:sz w:val="21"/>
                <w:szCs w:val="21"/>
              </w:rPr>
              <w:t>、张白石</w:t>
            </w:r>
            <w:r>
              <w:rPr>
                <w:rFonts w:hint="eastAsia" w:ascii="宋体" w:hAnsi="宋体"/>
                <w:b/>
                <w:sz w:val="21"/>
                <w:szCs w:val="21"/>
                <w:vertAlign w:val="superscript"/>
              </w:rPr>
              <w:t>*</w:t>
            </w:r>
            <w:r>
              <w:rPr>
                <w:rFonts w:hint="eastAsia" w:ascii="宋体" w:hAnsi="宋体"/>
                <w:sz w:val="21"/>
                <w:szCs w:val="21"/>
              </w:rPr>
              <w:t>、杨军</w:t>
            </w:r>
            <w:r>
              <w:rPr>
                <w:rFonts w:hint="eastAsia" w:ascii="宋体" w:hAnsi="宋体"/>
                <w:b/>
                <w:sz w:val="21"/>
                <w:szCs w:val="21"/>
                <w:vertAlign w:val="superscript"/>
              </w:rPr>
              <w:t>*</w:t>
            </w:r>
          </w:p>
        </w:tc>
        <w:tc>
          <w:tcPr>
            <w:tcW w:w="2611" w:type="dxa"/>
            <w:vAlign w:val="center"/>
          </w:tcPr>
          <w:p w14:paraId="63E22C25">
            <w:pPr>
              <w:wordWrap w:val="0"/>
              <w:topLinePunct/>
              <w:jc w:val="center"/>
              <w:rPr>
                <w:rFonts w:ascii="宋体" w:hAnsi="宋体"/>
                <w:sz w:val="21"/>
                <w:szCs w:val="21"/>
              </w:rPr>
            </w:pPr>
            <w:r>
              <w:rPr>
                <w:rFonts w:hint="eastAsia" w:ascii="宋体" w:hAnsi="宋体"/>
                <w:sz w:val="21"/>
                <w:szCs w:val="21"/>
              </w:rPr>
              <w:t>林耕、</w:t>
            </w:r>
            <w:r>
              <w:rPr>
                <w:rFonts w:ascii="宋体" w:hAnsi="宋体"/>
                <w:sz w:val="21"/>
                <w:szCs w:val="21"/>
              </w:rPr>
              <w:t>刘立钧</w:t>
            </w:r>
            <w:r>
              <w:rPr>
                <w:rFonts w:hint="eastAsia" w:ascii="宋体" w:hAnsi="宋体"/>
                <w:sz w:val="21"/>
                <w:szCs w:val="21"/>
              </w:rPr>
              <w:t>、</w:t>
            </w:r>
            <w:r>
              <w:rPr>
                <w:rFonts w:ascii="宋体" w:hAnsi="宋体"/>
                <w:sz w:val="21"/>
                <w:szCs w:val="21"/>
              </w:rPr>
              <w:t>兰旭</w:t>
            </w:r>
            <w:r>
              <w:rPr>
                <w:rFonts w:hint="eastAsia" w:ascii="宋体" w:hAnsi="宋体"/>
                <w:sz w:val="21"/>
                <w:szCs w:val="21"/>
              </w:rPr>
              <w:t>、孙媛媛</w:t>
            </w:r>
            <w:r>
              <w:rPr>
                <w:rFonts w:hint="eastAsia" w:ascii="宋体" w:hAnsi="宋体" w:cs="宋体"/>
                <w:sz w:val="21"/>
                <w:szCs w:val="21"/>
              </w:rPr>
              <w:t>、陆琳、吴琛、</w:t>
            </w:r>
            <w:r>
              <w:rPr>
                <w:rFonts w:ascii="宋体" w:hAnsi="宋体"/>
                <w:sz w:val="21"/>
                <w:szCs w:val="21"/>
              </w:rPr>
              <w:t>席丽莎</w:t>
            </w:r>
            <w:r>
              <w:rPr>
                <w:rFonts w:hint="eastAsia" w:ascii="宋体" w:hAnsi="宋体"/>
                <w:sz w:val="21"/>
                <w:szCs w:val="21"/>
              </w:rPr>
              <w:t>、李津莉</w:t>
            </w:r>
            <w:r>
              <w:rPr>
                <w:rFonts w:hint="eastAsia" w:ascii="宋体" w:hAnsi="宋体"/>
                <w:b/>
                <w:sz w:val="21"/>
                <w:szCs w:val="21"/>
                <w:vertAlign w:val="superscript"/>
              </w:rPr>
              <w:t>*</w:t>
            </w:r>
            <w:r>
              <w:rPr>
                <w:rFonts w:ascii="宋体" w:hAnsi="宋体"/>
                <w:sz w:val="21"/>
                <w:szCs w:val="21"/>
              </w:rPr>
              <w:t>、</w:t>
            </w:r>
            <w:r>
              <w:rPr>
                <w:rFonts w:hint="eastAsia" w:ascii="宋体" w:hAnsi="宋体"/>
                <w:sz w:val="21"/>
                <w:szCs w:val="21"/>
              </w:rPr>
              <w:t>朱雪梅</w:t>
            </w:r>
            <w:r>
              <w:rPr>
                <w:rFonts w:hint="eastAsia" w:ascii="宋体" w:hAnsi="宋体"/>
                <w:b/>
                <w:sz w:val="21"/>
                <w:szCs w:val="21"/>
                <w:vertAlign w:val="superscript"/>
              </w:rPr>
              <w:t>*</w:t>
            </w:r>
          </w:p>
        </w:tc>
        <w:tc>
          <w:tcPr>
            <w:tcW w:w="2754" w:type="dxa"/>
            <w:vAlign w:val="center"/>
          </w:tcPr>
          <w:p w14:paraId="284573EF">
            <w:pPr>
              <w:wordWrap w:val="0"/>
              <w:topLinePunct/>
              <w:jc w:val="center"/>
              <w:rPr>
                <w:rFonts w:ascii="宋体" w:hAnsi="宋体"/>
                <w:sz w:val="21"/>
                <w:szCs w:val="21"/>
              </w:rPr>
            </w:pPr>
            <w:r>
              <w:rPr>
                <w:rFonts w:ascii="宋体" w:hAnsi="宋体"/>
                <w:sz w:val="21"/>
                <w:szCs w:val="21"/>
              </w:rPr>
              <w:t>王振坡、李鹏波</w:t>
            </w:r>
            <w:r>
              <w:rPr>
                <w:rFonts w:hint="eastAsia" w:ascii="宋体" w:hAnsi="宋体"/>
                <w:sz w:val="21"/>
                <w:szCs w:val="21"/>
              </w:rPr>
              <w:t>、严佳</w:t>
            </w:r>
            <w:r>
              <w:rPr>
                <w:rFonts w:hint="eastAsia" w:ascii="宋体" w:hAnsi="宋体"/>
                <w:b/>
                <w:sz w:val="21"/>
                <w:szCs w:val="21"/>
                <w:vertAlign w:val="superscript"/>
              </w:rPr>
              <w:t>*</w:t>
            </w:r>
            <w:r>
              <w:rPr>
                <w:rFonts w:hint="eastAsia" w:ascii="宋体" w:hAnsi="宋体"/>
                <w:sz w:val="21"/>
                <w:szCs w:val="21"/>
              </w:rPr>
              <w:t>、张勇</w:t>
            </w:r>
            <w:r>
              <w:rPr>
                <w:rFonts w:hint="eastAsia" w:ascii="宋体" w:hAnsi="宋体"/>
                <w:b/>
                <w:sz w:val="21"/>
                <w:szCs w:val="21"/>
                <w:vertAlign w:val="superscript"/>
              </w:rPr>
              <w:t>*</w:t>
            </w:r>
            <w:r>
              <w:rPr>
                <w:rFonts w:hint="eastAsia" w:ascii="宋体" w:hAnsi="宋体"/>
                <w:sz w:val="21"/>
                <w:szCs w:val="21"/>
              </w:rPr>
              <w:t>、陈天</w:t>
            </w:r>
            <w:r>
              <w:rPr>
                <w:rFonts w:hint="eastAsia" w:ascii="宋体" w:hAnsi="宋体"/>
                <w:b/>
                <w:sz w:val="21"/>
                <w:szCs w:val="21"/>
                <w:vertAlign w:val="superscript"/>
              </w:rPr>
              <w:t>*</w:t>
            </w:r>
            <w:r>
              <w:rPr>
                <w:rFonts w:hint="eastAsia" w:ascii="宋体" w:hAnsi="宋体"/>
                <w:sz w:val="21"/>
                <w:szCs w:val="21"/>
              </w:rPr>
              <w:t>、张赫</w:t>
            </w:r>
            <w:r>
              <w:rPr>
                <w:rFonts w:hint="eastAsia" w:ascii="宋体" w:hAnsi="宋体"/>
                <w:b/>
                <w:sz w:val="21"/>
                <w:szCs w:val="21"/>
                <w:vertAlign w:val="superscript"/>
              </w:rPr>
              <w:t>*</w:t>
            </w:r>
            <w:r>
              <w:rPr>
                <w:rFonts w:hint="eastAsia" w:ascii="宋体" w:hAnsi="宋体"/>
                <w:sz w:val="21"/>
                <w:szCs w:val="21"/>
              </w:rPr>
              <w:t>、</w:t>
            </w:r>
            <w:r>
              <w:rPr>
                <w:rFonts w:ascii="宋体" w:hAnsi="宋体"/>
                <w:sz w:val="21"/>
                <w:szCs w:val="21"/>
              </w:rPr>
              <w:t>田健</w:t>
            </w:r>
            <w:r>
              <w:rPr>
                <w:rFonts w:hint="eastAsia" w:ascii="宋体" w:hAnsi="宋体"/>
                <w:b/>
                <w:sz w:val="21"/>
                <w:szCs w:val="21"/>
                <w:vertAlign w:val="superscript"/>
              </w:rPr>
              <w:t>*</w:t>
            </w:r>
          </w:p>
        </w:tc>
      </w:tr>
      <w:tr w14:paraId="46B8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29" w:hRule="atLeast"/>
          <w:jc w:val="center"/>
        </w:trPr>
        <w:tc>
          <w:tcPr>
            <w:tcW w:w="0" w:type="auto"/>
            <w:vAlign w:val="center"/>
          </w:tcPr>
          <w:p w14:paraId="7A2D9DA7">
            <w:pPr>
              <w:jc w:val="center"/>
              <w:rPr>
                <w:rFonts w:ascii="宋体" w:hAnsi="宋体"/>
                <w:b/>
                <w:sz w:val="21"/>
                <w:szCs w:val="21"/>
              </w:rPr>
            </w:pPr>
            <w:r>
              <w:rPr>
                <w:rFonts w:ascii="宋体" w:hAnsi="宋体"/>
                <w:b/>
                <w:sz w:val="21"/>
                <w:szCs w:val="21"/>
              </w:rPr>
              <w:t>团队</w:t>
            </w:r>
            <w:r>
              <w:rPr>
                <w:rFonts w:hint="eastAsia" w:ascii="宋体" w:hAnsi="宋体" w:cs="宋体"/>
                <w:b/>
                <w:sz w:val="21"/>
                <w:szCs w:val="21"/>
              </w:rPr>
              <w:t>教师</w:t>
            </w:r>
          </w:p>
        </w:tc>
        <w:tc>
          <w:tcPr>
            <w:tcW w:w="2508" w:type="dxa"/>
            <w:vAlign w:val="center"/>
          </w:tcPr>
          <w:p w14:paraId="1D0727C5">
            <w:pPr>
              <w:jc w:val="center"/>
              <w:rPr>
                <w:rFonts w:ascii="宋体" w:hAnsi="宋体"/>
                <w:sz w:val="21"/>
                <w:szCs w:val="21"/>
              </w:rPr>
            </w:pPr>
            <w:r>
              <w:rPr>
                <w:rFonts w:hint="eastAsia" w:ascii="宋体" w:hAnsi="宋体"/>
                <w:sz w:val="21"/>
                <w:szCs w:val="21"/>
              </w:rPr>
              <w:t>张天宇、</w:t>
            </w:r>
            <w:r>
              <w:rPr>
                <w:rFonts w:ascii="宋体" w:hAnsi="宋体"/>
                <w:sz w:val="21"/>
                <w:szCs w:val="21"/>
              </w:rPr>
              <w:t>孙永青、刘欣、李巍、杨向群、</w:t>
            </w:r>
            <w:r>
              <w:rPr>
                <w:rFonts w:hint="eastAsia" w:ascii="宋体" w:hAnsi="宋体"/>
                <w:sz w:val="21"/>
                <w:szCs w:val="21"/>
              </w:rPr>
              <w:t>李峰</w:t>
            </w:r>
          </w:p>
        </w:tc>
        <w:tc>
          <w:tcPr>
            <w:tcW w:w="2611" w:type="dxa"/>
            <w:vAlign w:val="center"/>
          </w:tcPr>
          <w:p w14:paraId="7BB074CD">
            <w:pPr>
              <w:jc w:val="center"/>
              <w:rPr>
                <w:rFonts w:ascii="宋体" w:hAnsi="宋体"/>
                <w:sz w:val="21"/>
                <w:szCs w:val="21"/>
              </w:rPr>
            </w:pPr>
            <w:r>
              <w:rPr>
                <w:rFonts w:hint="eastAsia" w:ascii="宋体" w:hAnsi="宋体" w:cs="宋体"/>
                <w:sz w:val="21"/>
                <w:szCs w:val="21"/>
              </w:rPr>
              <w:t>徐蕾、</w:t>
            </w:r>
            <w:r>
              <w:rPr>
                <w:rFonts w:ascii="宋体" w:hAnsi="宋体"/>
                <w:sz w:val="21"/>
                <w:szCs w:val="21"/>
              </w:rPr>
              <w:t>张秀芹、于伟、徐冰</w:t>
            </w:r>
            <w:r>
              <w:rPr>
                <w:rFonts w:hint="eastAsia" w:ascii="宋体" w:hAnsi="宋体"/>
                <w:sz w:val="21"/>
                <w:szCs w:val="21"/>
              </w:rPr>
              <w:t>、陈立镜</w:t>
            </w:r>
          </w:p>
        </w:tc>
        <w:tc>
          <w:tcPr>
            <w:tcW w:w="2754" w:type="dxa"/>
            <w:vAlign w:val="center"/>
          </w:tcPr>
          <w:p w14:paraId="4AB70954">
            <w:pPr>
              <w:jc w:val="center"/>
              <w:rPr>
                <w:rFonts w:ascii="宋体" w:hAnsi="宋体"/>
                <w:sz w:val="21"/>
                <w:szCs w:val="21"/>
              </w:rPr>
            </w:pPr>
            <w:r>
              <w:rPr>
                <w:rFonts w:ascii="宋体" w:hAnsi="宋体"/>
                <w:sz w:val="21"/>
                <w:szCs w:val="21"/>
              </w:rPr>
              <w:t>朱凤杰、赵晓燕</w:t>
            </w:r>
            <w:r>
              <w:rPr>
                <w:rFonts w:hint="eastAsia" w:ascii="宋体" w:hAnsi="宋体"/>
                <w:sz w:val="21"/>
                <w:szCs w:val="21"/>
              </w:rPr>
              <w:t>、</w:t>
            </w:r>
            <w:r>
              <w:rPr>
                <w:rFonts w:hint="eastAsia" w:ascii="宋体" w:hAnsi="宋体" w:cs="宋体"/>
                <w:sz w:val="21"/>
                <w:szCs w:val="21"/>
              </w:rPr>
              <w:t>常成、</w:t>
            </w:r>
            <w:r>
              <w:rPr>
                <w:rFonts w:ascii="宋体" w:hAnsi="宋体"/>
                <w:sz w:val="21"/>
                <w:szCs w:val="21"/>
              </w:rPr>
              <w:t>王滢</w:t>
            </w:r>
            <w:r>
              <w:rPr>
                <w:rFonts w:hint="eastAsia" w:ascii="宋体" w:hAnsi="宋体"/>
                <w:sz w:val="21"/>
                <w:szCs w:val="21"/>
              </w:rPr>
              <w:t>、李发明、徐嵩</w:t>
            </w:r>
          </w:p>
        </w:tc>
      </w:tr>
    </w:tbl>
    <w:p w14:paraId="6B0F2E2D">
      <w:pPr>
        <w:spacing w:after="156" w:afterLines="50" w:line="300" w:lineRule="exact"/>
        <w:jc w:val="left"/>
        <w:rPr>
          <w:rFonts w:ascii="黑体" w:hAnsi="黑体" w:eastAsia="黑体"/>
          <w:sz w:val="21"/>
          <w:szCs w:val="21"/>
        </w:rPr>
      </w:pPr>
      <w:r>
        <w:rPr>
          <w:rFonts w:hint="eastAsia" w:ascii="黑体" w:hAnsi="黑体" w:eastAsia="黑体"/>
          <w:sz w:val="21"/>
          <w:szCs w:val="21"/>
        </w:rPr>
        <w:t>*</w:t>
      </w:r>
      <w:r>
        <w:rPr>
          <w:rFonts w:ascii="黑体" w:hAnsi="黑体" w:eastAsia="黑体"/>
          <w:sz w:val="21"/>
          <w:szCs w:val="21"/>
        </w:rPr>
        <w:t>为校外</w:t>
      </w:r>
      <w:r>
        <w:rPr>
          <w:rFonts w:hint="eastAsia" w:ascii="黑体" w:hAnsi="黑体" w:eastAsia="黑体"/>
          <w:sz w:val="21"/>
          <w:szCs w:val="21"/>
        </w:rPr>
        <w:t>兼职硕士生导师</w:t>
      </w:r>
    </w:p>
    <w:p w14:paraId="055519AC">
      <w:pPr>
        <w:pStyle w:val="2"/>
      </w:pPr>
      <w:r>
        <w:rPr>
          <w:rFonts w:hint="eastAsia"/>
        </w:rPr>
        <w:t>2</w:t>
      </w:r>
      <w:r>
        <w:t>.3科学研究</w:t>
      </w:r>
    </w:p>
    <w:p w14:paraId="34C08EB7">
      <w:pPr>
        <w:widowControl/>
        <w:shd w:val="clear" w:color="auto" w:fill="FFFFFF"/>
        <w:ind w:firstLine="560" w:firstLineChars="200"/>
        <w:jc w:val="left"/>
        <w:rPr>
          <w:rFonts w:ascii="宋体" w:hAnsi="宋体"/>
        </w:rPr>
      </w:pPr>
      <w:r>
        <w:rPr>
          <w:rFonts w:hint="eastAsia" w:ascii="宋体" w:hAnsi="宋体"/>
        </w:rPr>
        <w:t>学院积极拓宽渠道，以京津冀协同发展、服务滨海新区以及新农村建设为契机，发挥学校的办学特色，鼓励导师与研究生积极开展科研工作。经过多年的摸索，我院导师团队在城乡规划与设计、城乡历史遗产保护规划、区域规划与空间发展战略、城市生态与环境规划等主要研究方向形成了一批科研成果。</w:t>
      </w:r>
      <w:r>
        <w:rPr>
          <w:rFonts w:ascii="宋体" w:hAnsi="宋体"/>
        </w:rPr>
        <w:t>2016年以来，城乡规划学专业教师承担和完成的纵向科研项目共计30项，其中包括国家自然科学基金项目4项，国家重点研发计划子课题2项，其他省部级课题24项；承担横向课题50余项；公开发表学术论文80余篇，其中核心期刊（CSCD、CSSCI、北大核心等）和高水平期刊（中国科协T1、T2、T3）论文30篇，出版著作5部。</w:t>
      </w:r>
    </w:p>
    <w:p w14:paraId="28AE2730">
      <w:pPr>
        <w:pStyle w:val="2"/>
        <w:rPr>
          <w:rFonts w:ascii="宋体" w:hAnsi="宋体" w:eastAsia="宋体"/>
          <w:b w:val="0"/>
          <w:szCs w:val="22"/>
        </w:rPr>
      </w:pPr>
      <w:r>
        <w:rPr>
          <w:rFonts w:hint="eastAsia"/>
        </w:rPr>
        <w:t>2</w:t>
      </w:r>
      <w:r>
        <w:t>.4教学科研支撑</w:t>
      </w:r>
    </w:p>
    <w:p w14:paraId="3C7B955B">
      <w:pPr>
        <w:widowControl/>
        <w:shd w:val="clear" w:color="auto" w:fill="FFFFFF"/>
        <w:ind w:firstLine="560" w:firstLineChars="200"/>
        <w:jc w:val="left"/>
        <w:rPr>
          <w:rFonts w:ascii="宋体" w:hAnsi="宋体"/>
        </w:rPr>
      </w:pPr>
      <w:r>
        <w:rPr>
          <w:rFonts w:hint="eastAsia" w:ascii="宋体" w:hAnsi="宋体"/>
        </w:rPr>
        <w:t>依托实践基地与科技平台，强化教研团队与平台建设，增强实践育人的能力。现有“城市绿色发展研究中心”</w:t>
      </w:r>
      <w:r>
        <w:rPr>
          <w:rFonts w:hint="eastAsia" w:ascii="宋体" w:hAnsi="宋体"/>
          <w:lang w:eastAsia="zh-CN"/>
        </w:rPr>
        <w:t>、</w:t>
      </w:r>
      <w:r>
        <w:rPr>
          <w:rFonts w:hint="eastAsia" w:ascii="宋体" w:hAnsi="宋体"/>
        </w:rPr>
        <w:t>“天津绿色建筑协同创新中心”</w:t>
      </w:r>
      <w:r>
        <w:rPr>
          <w:rFonts w:hint="eastAsia" w:ascii="宋体" w:hAnsi="宋体"/>
          <w:lang w:eastAsia="zh-CN"/>
        </w:rPr>
        <w:t>、</w:t>
      </w:r>
      <w:r>
        <w:rPr>
          <w:rFonts w:hint="eastAsia" w:ascii="宋体" w:hAnsi="宋体"/>
        </w:rPr>
        <w:t>“天津市绿色住区建设技术工程中心”</w:t>
      </w:r>
      <w:r>
        <w:rPr>
          <w:rFonts w:hint="eastAsia" w:ascii="宋体" w:hAnsi="宋体"/>
          <w:lang w:eastAsia="zh-CN"/>
        </w:rPr>
        <w:t>、</w:t>
      </w:r>
      <w:r>
        <w:rPr>
          <w:rFonts w:hint="eastAsia" w:ascii="宋体" w:hAnsi="宋体"/>
        </w:rPr>
        <w:t>“人居环境实验教学示范中心”</w:t>
      </w:r>
      <w:r>
        <w:rPr>
          <w:rFonts w:hint="eastAsia" w:ascii="宋体" w:hAnsi="宋体"/>
          <w:lang w:eastAsia="zh-CN"/>
        </w:rPr>
        <w:t>、</w:t>
      </w:r>
      <w:r>
        <w:rPr>
          <w:rFonts w:hint="eastAsia" w:ascii="宋体" w:hAnsi="宋体"/>
        </w:rPr>
        <w:t>“天津城镇化与新农村建设研究中心”</w:t>
      </w:r>
      <w:r>
        <w:rPr>
          <w:rFonts w:ascii="宋体" w:hAnsi="宋体"/>
        </w:rPr>
        <w:t>5个市级科技平台，形成了专业化教学研究平台和团队，以天津城建大学建筑设计研究院为主要实训基地，同时与天津市城市规划设计研究院、天津建筑设计研究院等8家建筑、规划企事业单位共建产学研基地。强化实践训练，培养基础扎实、专业与实践能力强、综合素质高、具有创新精神和创业能力的规划学科实用型应用人才。</w:t>
      </w:r>
    </w:p>
    <w:p w14:paraId="2CF20B9B">
      <w:pPr>
        <w:widowControl/>
        <w:shd w:val="clear" w:color="auto" w:fill="FFFFFF"/>
        <w:ind w:firstLine="560" w:firstLineChars="200"/>
        <w:jc w:val="left"/>
        <w:rPr>
          <w:rFonts w:ascii="宋体" w:hAnsi="宋体"/>
        </w:rPr>
      </w:pPr>
      <w:r>
        <w:rPr>
          <w:rFonts w:hint="eastAsia" w:ascii="宋体" w:hAnsi="宋体"/>
        </w:rPr>
        <w:t>针对研究生多层次的教育教学活动，以研究团队的形式开展研究生培养工作。目前，已建立乡村振兴研究、历史城镇规划研究、遗产保护与城乡发展研究、韧性国土与智慧城乡研究、城市交通研究五个教研团队。各团队均由研究生导师、理论课教师、企业导师共同组成，以科研为引领，发挥各教研团队的特色优势，在研究方向、研究技术、工程实践等多方面，积极深入开展科研活动和学术交流，由此形成了“基础理论</w:t>
      </w:r>
      <w:r>
        <w:rPr>
          <w:rFonts w:ascii="宋体" w:hAnsi="宋体"/>
        </w:rPr>
        <w:t>+科研引领+行业实践”三位一体的协同创新模式。</w:t>
      </w:r>
    </w:p>
    <w:p w14:paraId="1CE3E932">
      <w:pPr>
        <w:pStyle w:val="2"/>
        <w:rPr>
          <w:rFonts w:ascii="宋体" w:hAnsi="宋体" w:eastAsia="宋体" w:cs="Arial"/>
          <w:kern w:val="0"/>
        </w:rPr>
      </w:pPr>
      <w:r>
        <w:rPr>
          <w:rFonts w:hint="eastAsia"/>
        </w:rPr>
        <w:t>2</w:t>
      </w:r>
      <w:r>
        <w:t>.5</w:t>
      </w:r>
      <w:r>
        <w:rPr>
          <w:rFonts w:hint="eastAsia"/>
        </w:rPr>
        <w:t>奖助体系</w:t>
      </w:r>
    </w:p>
    <w:p w14:paraId="1008C06F">
      <w:pPr>
        <w:spacing w:line="360" w:lineRule="auto"/>
        <w:ind w:firstLine="560" w:firstLineChars="200"/>
        <w:jc w:val="left"/>
        <w:rPr>
          <w:rFonts w:ascii="宋体" w:hAnsi="宋体" w:cs="宋体"/>
        </w:rPr>
      </w:pPr>
      <w:r>
        <w:rPr>
          <w:rFonts w:hint="eastAsia" w:ascii="宋体" w:hAnsi="宋体" w:cs="宋体"/>
        </w:rPr>
        <w:t>天津城建大学具有完备的研究生奖助体系</w:t>
      </w:r>
      <w:r>
        <w:rPr>
          <w:rFonts w:hint="eastAsia" w:ascii="宋体" w:hAnsi="宋体"/>
          <w:szCs w:val="28"/>
        </w:rPr>
        <w:t>（表</w:t>
      </w:r>
      <w:r>
        <w:rPr>
          <w:rFonts w:ascii="宋体" w:hAnsi="宋体"/>
          <w:szCs w:val="28"/>
        </w:rPr>
        <w:t>2</w:t>
      </w:r>
      <w:r>
        <w:rPr>
          <w:rFonts w:hint="eastAsia" w:ascii="宋体" w:hAnsi="宋体"/>
          <w:szCs w:val="28"/>
        </w:rPr>
        <w:t>-</w:t>
      </w:r>
      <w:r>
        <w:rPr>
          <w:rFonts w:ascii="宋体" w:hAnsi="宋体"/>
          <w:szCs w:val="28"/>
        </w:rPr>
        <w:t>2</w:t>
      </w:r>
      <w:r>
        <w:rPr>
          <w:rFonts w:hint="eastAsia" w:ascii="宋体" w:hAnsi="宋体"/>
          <w:szCs w:val="28"/>
        </w:rPr>
        <w:t>）</w:t>
      </w:r>
      <w:r>
        <w:rPr>
          <w:rFonts w:hint="eastAsia" w:ascii="宋体" w:hAnsi="宋体" w:cs="宋体"/>
        </w:rPr>
        <w:t>。研究生奖学金包括国家奖学金、三助奖学金和学业奖学金。其中，三助奖学金和学业奖学金覆盖率为100%。</w:t>
      </w:r>
    </w:p>
    <w:p w14:paraId="14199F4E">
      <w:pPr>
        <w:jc w:val="center"/>
        <w:rPr>
          <w:rFonts w:ascii="宋体" w:hAnsi="宋体" w:cs="宋体"/>
          <w:bCs/>
          <w:sz w:val="21"/>
          <w:szCs w:val="21"/>
        </w:rPr>
      </w:pPr>
      <w:r>
        <w:rPr>
          <w:rFonts w:hint="eastAsia" w:ascii="宋体" w:hAnsi="宋体" w:cs="宋体"/>
          <w:sz w:val="21"/>
          <w:szCs w:val="21"/>
        </w:rPr>
        <w:t>表</w:t>
      </w:r>
      <w:r>
        <w:rPr>
          <w:rFonts w:ascii="宋体" w:hAnsi="宋体" w:cs="宋体"/>
          <w:sz w:val="21"/>
          <w:szCs w:val="21"/>
        </w:rPr>
        <w:t>2</w:t>
      </w: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 xml:space="preserve"> </w:t>
      </w:r>
      <w:r>
        <w:rPr>
          <w:rFonts w:hint="eastAsia" w:ascii="宋体" w:hAnsi="宋体" w:cs="宋体"/>
          <w:bCs/>
          <w:sz w:val="21"/>
          <w:szCs w:val="21"/>
        </w:rPr>
        <w:t>研究生奖助体系情况汇总表</w:t>
      </w:r>
    </w:p>
    <w:tbl>
      <w:tblPr>
        <w:tblStyle w:val="10"/>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694"/>
        <w:gridCol w:w="3806"/>
        <w:gridCol w:w="1276"/>
        <w:gridCol w:w="846"/>
      </w:tblGrid>
      <w:tr w14:paraId="0AF3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2" w:type="dxa"/>
            <w:shd w:val="clear" w:color="auto" w:fill="auto"/>
            <w:vAlign w:val="center"/>
          </w:tcPr>
          <w:p w14:paraId="130CA814">
            <w:pPr>
              <w:rPr>
                <w:rFonts w:ascii="宋体" w:hAnsi="宋体" w:cs="宋体"/>
                <w:b/>
                <w:sz w:val="21"/>
                <w:szCs w:val="21"/>
              </w:rPr>
            </w:pPr>
            <w:r>
              <w:rPr>
                <w:rFonts w:hint="eastAsia" w:ascii="宋体" w:hAnsi="宋体" w:cs="宋体"/>
                <w:b/>
                <w:sz w:val="21"/>
                <w:szCs w:val="21"/>
              </w:rPr>
              <w:t>序号</w:t>
            </w:r>
          </w:p>
        </w:tc>
        <w:tc>
          <w:tcPr>
            <w:tcW w:w="1694" w:type="dxa"/>
            <w:shd w:val="clear" w:color="auto" w:fill="auto"/>
            <w:vAlign w:val="center"/>
          </w:tcPr>
          <w:p w14:paraId="774C583B">
            <w:pPr>
              <w:rPr>
                <w:rFonts w:ascii="宋体" w:hAnsi="宋体" w:cs="宋体"/>
                <w:b/>
                <w:sz w:val="21"/>
                <w:szCs w:val="21"/>
              </w:rPr>
            </w:pPr>
            <w:r>
              <w:rPr>
                <w:rFonts w:hint="eastAsia" w:ascii="宋体" w:hAnsi="宋体" w:cs="宋体"/>
                <w:b/>
                <w:sz w:val="21"/>
                <w:szCs w:val="21"/>
              </w:rPr>
              <w:t>奖、助、贷名称</w:t>
            </w:r>
          </w:p>
        </w:tc>
        <w:tc>
          <w:tcPr>
            <w:tcW w:w="3806" w:type="dxa"/>
            <w:shd w:val="clear" w:color="auto" w:fill="auto"/>
            <w:vAlign w:val="center"/>
          </w:tcPr>
          <w:p w14:paraId="50871A43">
            <w:pPr>
              <w:jc w:val="center"/>
              <w:rPr>
                <w:rFonts w:ascii="宋体" w:hAnsi="宋体" w:cs="宋体"/>
                <w:b/>
                <w:sz w:val="21"/>
                <w:szCs w:val="21"/>
              </w:rPr>
            </w:pPr>
            <w:r>
              <w:rPr>
                <w:rFonts w:hint="eastAsia" w:ascii="宋体" w:hAnsi="宋体" w:cs="宋体"/>
                <w:b/>
                <w:sz w:val="21"/>
                <w:szCs w:val="21"/>
              </w:rPr>
              <w:t>资助水平</w:t>
            </w:r>
          </w:p>
        </w:tc>
        <w:tc>
          <w:tcPr>
            <w:tcW w:w="1276" w:type="dxa"/>
            <w:shd w:val="clear" w:color="auto" w:fill="auto"/>
            <w:vAlign w:val="center"/>
          </w:tcPr>
          <w:p w14:paraId="18B4F1D4">
            <w:pPr>
              <w:jc w:val="center"/>
              <w:rPr>
                <w:rFonts w:ascii="宋体" w:hAnsi="宋体" w:cs="宋体"/>
                <w:b/>
                <w:sz w:val="21"/>
                <w:szCs w:val="21"/>
              </w:rPr>
            </w:pPr>
            <w:r>
              <w:rPr>
                <w:rFonts w:hint="eastAsia" w:ascii="宋体" w:hAnsi="宋体" w:cs="宋体"/>
                <w:b/>
                <w:sz w:val="21"/>
                <w:szCs w:val="21"/>
              </w:rPr>
              <w:t>资助对象</w:t>
            </w:r>
          </w:p>
        </w:tc>
        <w:tc>
          <w:tcPr>
            <w:tcW w:w="846" w:type="dxa"/>
            <w:shd w:val="clear" w:color="auto" w:fill="auto"/>
            <w:vAlign w:val="center"/>
          </w:tcPr>
          <w:p w14:paraId="17453B5F">
            <w:pPr>
              <w:jc w:val="center"/>
              <w:rPr>
                <w:rFonts w:ascii="宋体" w:hAnsi="宋体" w:cs="宋体"/>
                <w:b/>
                <w:sz w:val="21"/>
                <w:szCs w:val="21"/>
              </w:rPr>
            </w:pPr>
            <w:r>
              <w:rPr>
                <w:rFonts w:hint="eastAsia" w:ascii="宋体" w:hAnsi="宋体" w:cs="宋体"/>
                <w:b/>
                <w:sz w:val="21"/>
                <w:szCs w:val="21"/>
              </w:rPr>
              <w:t>覆盖</w:t>
            </w:r>
          </w:p>
          <w:p w14:paraId="1A9B9A03">
            <w:pPr>
              <w:jc w:val="center"/>
              <w:rPr>
                <w:rFonts w:ascii="宋体" w:hAnsi="宋体" w:cs="宋体"/>
                <w:b/>
                <w:sz w:val="21"/>
                <w:szCs w:val="21"/>
              </w:rPr>
            </w:pPr>
            <w:r>
              <w:rPr>
                <w:rFonts w:hint="eastAsia" w:ascii="宋体" w:hAnsi="宋体" w:cs="宋体"/>
                <w:b/>
                <w:sz w:val="21"/>
                <w:szCs w:val="21"/>
              </w:rPr>
              <w:t>比率</w:t>
            </w:r>
          </w:p>
        </w:tc>
      </w:tr>
      <w:tr w14:paraId="44D4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32" w:type="dxa"/>
            <w:vAlign w:val="center"/>
          </w:tcPr>
          <w:p w14:paraId="355B8986">
            <w:pPr>
              <w:widowControl/>
              <w:spacing w:line="300" w:lineRule="auto"/>
              <w:jc w:val="center"/>
              <w:rPr>
                <w:rFonts w:ascii="宋体" w:hAnsi="宋体" w:cs="宋体"/>
                <w:sz w:val="21"/>
                <w:szCs w:val="21"/>
              </w:rPr>
            </w:pPr>
            <w:r>
              <w:rPr>
                <w:rFonts w:hint="eastAsia" w:ascii="宋体" w:hAnsi="宋体" w:cs="宋体"/>
                <w:sz w:val="21"/>
                <w:szCs w:val="21"/>
              </w:rPr>
              <w:t>1</w:t>
            </w:r>
          </w:p>
        </w:tc>
        <w:tc>
          <w:tcPr>
            <w:tcW w:w="1694" w:type="dxa"/>
            <w:vAlign w:val="center"/>
          </w:tcPr>
          <w:p w14:paraId="470421E5">
            <w:pPr>
              <w:widowControl/>
              <w:spacing w:line="300" w:lineRule="auto"/>
              <w:jc w:val="center"/>
              <w:rPr>
                <w:rFonts w:ascii="宋体" w:hAnsi="宋体" w:cs="宋体"/>
                <w:sz w:val="21"/>
                <w:szCs w:val="21"/>
              </w:rPr>
            </w:pPr>
            <w:r>
              <w:rPr>
                <w:rFonts w:hint="eastAsia" w:ascii="宋体" w:hAnsi="宋体" w:cs="宋体"/>
                <w:sz w:val="21"/>
                <w:szCs w:val="21"/>
              </w:rPr>
              <w:t>国家奖学金</w:t>
            </w:r>
          </w:p>
        </w:tc>
        <w:tc>
          <w:tcPr>
            <w:tcW w:w="3806" w:type="dxa"/>
            <w:vAlign w:val="center"/>
          </w:tcPr>
          <w:p w14:paraId="74A8E6F1">
            <w:pPr>
              <w:widowControl/>
              <w:spacing w:line="300" w:lineRule="auto"/>
              <w:jc w:val="center"/>
              <w:rPr>
                <w:rFonts w:ascii="宋体" w:hAnsi="宋体" w:cs="宋体"/>
                <w:sz w:val="21"/>
                <w:szCs w:val="21"/>
              </w:rPr>
            </w:pPr>
            <w:r>
              <w:rPr>
                <w:rFonts w:hint="eastAsia" w:ascii="宋体" w:hAnsi="宋体" w:cs="宋体"/>
                <w:sz w:val="21"/>
                <w:szCs w:val="21"/>
              </w:rPr>
              <w:t>20000（元）</w:t>
            </w:r>
          </w:p>
        </w:tc>
        <w:tc>
          <w:tcPr>
            <w:tcW w:w="1276" w:type="dxa"/>
            <w:vAlign w:val="center"/>
          </w:tcPr>
          <w:p w14:paraId="43B9C8A3">
            <w:pPr>
              <w:widowControl/>
              <w:spacing w:line="300" w:lineRule="auto"/>
              <w:jc w:val="center"/>
              <w:rPr>
                <w:rFonts w:ascii="宋体" w:hAnsi="宋体" w:cs="宋体"/>
                <w:sz w:val="21"/>
                <w:szCs w:val="21"/>
              </w:rPr>
            </w:pPr>
            <w:r>
              <w:rPr>
                <w:rFonts w:hint="eastAsia" w:ascii="宋体" w:hAnsi="宋体" w:cs="宋体"/>
                <w:sz w:val="21"/>
                <w:szCs w:val="21"/>
              </w:rPr>
              <w:t>在读研究生</w:t>
            </w:r>
          </w:p>
        </w:tc>
        <w:tc>
          <w:tcPr>
            <w:tcW w:w="846" w:type="dxa"/>
            <w:vAlign w:val="center"/>
          </w:tcPr>
          <w:p w14:paraId="709E2DD6">
            <w:pPr>
              <w:spacing w:line="360" w:lineRule="auto"/>
              <w:jc w:val="center"/>
              <w:rPr>
                <w:rFonts w:ascii="宋体" w:hAnsi="宋体" w:cs="宋体"/>
                <w:sz w:val="21"/>
                <w:szCs w:val="21"/>
              </w:rPr>
            </w:pPr>
            <w:r>
              <w:rPr>
                <w:rFonts w:hint="eastAsia" w:ascii="宋体" w:hAnsi="宋体" w:cs="宋体"/>
                <w:sz w:val="21"/>
                <w:szCs w:val="21"/>
              </w:rPr>
              <w:t>1.5%</w:t>
            </w:r>
          </w:p>
        </w:tc>
      </w:tr>
      <w:tr w14:paraId="396D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2" w:type="dxa"/>
            <w:vAlign w:val="center"/>
          </w:tcPr>
          <w:p w14:paraId="08EC2334">
            <w:pPr>
              <w:widowControl/>
              <w:spacing w:line="300" w:lineRule="auto"/>
              <w:jc w:val="center"/>
              <w:rPr>
                <w:rFonts w:ascii="宋体" w:hAnsi="宋体" w:cs="宋体"/>
                <w:sz w:val="21"/>
                <w:szCs w:val="21"/>
              </w:rPr>
            </w:pPr>
            <w:r>
              <w:rPr>
                <w:rFonts w:hint="eastAsia" w:ascii="宋体" w:hAnsi="宋体" w:cs="宋体"/>
                <w:sz w:val="21"/>
                <w:szCs w:val="21"/>
              </w:rPr>
              <w:t>2</w:t>
            </w:r>
          </w:p>
        </w:tc>
        <w:tc>
          <w:tcPr>
            <w:tcW w:w="1694" w:type="dxa"/>
            <w:vAlign w:val="center"/>
          </w:tcPr>
          <w:p w14:paraId="2A8E7599">
            <w:pPr>
              <w:widowControl/>
              <w:spacing w:line="300" w:lineRule="auto"/>
              <w:jc w:val="center"/>
              <w:rPr>
                <w:rFonts w:ascii="宋体" w:hAnsi="宋体" w:cs="宋体"/>
                <w:sz w:val="21"/>
                <w:szCs w:val="21"/>
              </w:rPr>
            </w:pPr>
            <w:r>
              <w:rPr>
                <w:rFonts w:hint="eastAsia" w:ascii="宋体" w:hAnsi="宋体" w:cs="宋体"/>
                <w:sz w:val="21"/>
                <w:szCs w:val="21"/>
              </w:rPr>
              <w:t>“三助”奖学金</w:t>
            </w:r>
          </w:p>
        </w:tc>
        <w:tc>
          <w:tcPr>
            <w:tcW w:w="3806" w:type="dxa"/>
            <w:vAlign w:val="center"/>
          </w:tcPr>
          <w:p w14:paraId="48D2211B">
            <w:pPr>
              <w:widowControl/>
              <w:spacing w:line="300" w:lineRule="auto"/>
              <w:jc w:val="center"/>
              <w:rPr>
                <w:rFonts w:ascii="宋体" w:hAnsi="宋体" w:cs="宋体"/>
                <w:sz w:val="21"/>
                <w:szCs w:val="21"/>
              </w:rPr>
            </w:pPr>
            <w:r>
              <w:rPr>
                <w:rFonts w:hint="eastAsia" w:ascii="宋体" w:hAnsi="宋体" w:cs="宋体"/>
                <w:sz w:val="21"/>
                <w:szCs w:val="21"/>
              </w:rPr>
              <w:t>6000（元）</w:t>
            </w:r>
          </w:p>
        </w:tc>
        <w:tc>
          <w:tcPr>
            <w:tcW w:w="1276" w:type="dxa"/>
            <w:vAlign w:val="center"/>
          </w:tcPr>
          <w:p w14:paraId="7F9178A1">
            <w:pPr>
              <w:widowControl/>
              <w:spacing w:line="300" w:lineRule="auto"/>
              <w:jc w:val="center"/>
              <w:rPr>
                <w:rFonts w:ascii="宋体" w:hAnsi="宋体" w:cs="宋体"/>
                <w:sz w:val="21"/>
                <w:szCs w:val="21"/>
              </w:rPr>
            </w:pPr>
            <w:r>
              <w:rPr>
                <w:rFonts w:hint="eastAsia" w:ascii="宋体" w:hAnsi="宋体" w:cs="宋体"/>
                <w:sz w:val="21"/>
                <w:szCs w:val="21"/>
              </w:rPr>
              <w:t>在读研究生</w:t>
            </w:r>
          </w:p>
        </w:tc>
        <w:tc>
          <w:tcPr>
            <w:tcW w:w="846" w:type="dxa"/>
            <w:vAlign w:val="center"/>
          </w:tcPr>
          <w:p w14:paraId="2A23AAA6">
            <w:pPr>
              <w:widowControl/>
              <w:spacing w:line="300" w:lineRule="auto"/>
              <w:jc w:val="center"/>
              <w:rPr>
                <w:rFonts w:ascii="宋体" w:hAnsi="宋体" w:cs="宋体"/>
                <w:sz w:val="21"/>
                <w:szCs w:val="21"/>
              </w:rPr>
            </w:pPr>
            <w:r>
              <w:rPr>
                <w:rFonts w:hint="eastAsia" w:ascii="宋体" w:hAnsi="宋体" w:cs="宋体"/>
                <w:sz w:val="21"/>
                <w:szCs w:val="21"/>
              </w:rPr>
              <w:t>100%</w:t>
            </w:r>
          </w:p>
        </w:tc>
      </w:tr>
      <w:tr w14:paraId="341C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2" w:type="dxa"/>
            <w:vAlign w:val="center"/>
          </w:tcPr>
          <w:p w14:paraId="50804C5A">
            <w:pPr>
              <w:widowControl/>
              <w:spacing w:line="300" w:lineRule="auto"/>
              <w:jc w:val="center"/>
              <w:rPr>
                <w:rFonts w:ascii="宋体" w:hAnsi="宋体" w:cs="宋体"/>
                <w:sz w:val="21"/>
                <w:szCs w:val="21"/>
              </w:rPr>
            </w:pPr>
            <w:r>
              <w:rPr>
                <w:rFonts w:hint="eastAsia" w:ascii="宋体" w:hAnsi="宋体" w:cs="宋体"/>
                <w:sz w:val="21"/>
                <w:szCs w:val="21"/>
              </w:rPr>
              <w:t>3</w:t>
            </w:r>
          </w:p>
        </w:tc>
        <w:tc>
          <w:tcPr>
            <w:tcW w:w="1694" w:type="dxa"/>
            <w:vAlign w:val="center"/>
          </w:tcPr>
          <w:p w14:paraId="19DA7EA9">
            <w:pPr>
              <w:widowControl/>
              <w:spacing w:line="300" w:lineRule="auto"/>
              <w:jc w:val="center"/>
              <w:rPr>
                <w:rFonts w:ascii="宋体" w:hAnsi="宋体" w:cs="宋体"/>
                <w:sz w:val="21"/>
                <w:szCs w:val="21"/>
              </w:rPr>
            </w:pPr>
            <w:r>
              <w:rPr>
                <w:rFonts w:hint="eastAsia" w:ascii="宋体" w:hAnsi="宋体" w:cs="宋体"/>
                <w:sz w:val="21"/>
                <w:szCs w:val="21"/>
              </w:rPr>
              <w:t>学业奖学金</w:t>
            </w:r>
          </w:p>
        </w:tc>
        <w:tc>
          <w:tcPr>
            <w:tcW w:w="3806" w:type="dxa"/>
            <w:vAlign w:val="center"/>
          </w:tcPr>
          <w:p w14:paraId="5D17B02A">
            <w:pPr>
              <w:widowControl/>
              <w:spacing w:line="300" w:lineRule="auto"/>
              <w:jc w:val="center"/>
              <w:rPr>
                <w:rFonts w:ascii="宋体" w:hAnsi="宋体" w:cs="宋体"/>
                <w:sz w:val="21"/>
                <w:szCs w:val="21"/>
              </w:rPr>
            </w:pPr>
            <w:r>
              <w:rPr>
                <w:rFonts w:hint="eastAsia" w:ascii="宋体" w:hAnsi="宋体" w:cs="宋体"/>
                <w:sz w:val="21"/>
                <w:szCs w:val="21"/>
              </w:rPr>
              <w:t>10000元、8000元、6000元、4000元</w:t>
            </w:r>
          </w:p>
        </w:tc>
        <w:tc>
          <w:tcPr>
            <w:tcW w:w="1276" w:type="dxa"/>
            <w:vAlign w:val="center"/>
          </w:tcPr>
          <w:p w14:paraId="4EEFBEAC">
            <w:pPr>
              <w:widowControl/>
              <w:spacing w:line="300" w:lineRule="auto"/>
              <w:jc w:val="center"/>
              <w:rPr>
                <w:rFonts w:ascii="宋体" w:hAnsi="宋体" w:cs="宋体"/>
                <w:sz w:val="21"/>
                <w:szCs w:val="21"/>
              </w:rPr>
            </w:pPr>
            <w:r>
              <w:rPr>
                <w:rFonts w:hint="eastAsia" w:ascii="宋体" w:hAnsi="宋体" w:cs="宋体"/>
                <w:sz w:val="21"/>
                <w:szCs w:val="21"/>
              </w:rPr>
              <w:t>在读研究生</w:t>
            </w:r>
          </w:p>
        </w:tc>
        <w:tc>
          <w:tcPr>
            <w:tcW w:w="846" w:type="dxa"/>
            <w:vAlign w:val="center"/>
          </w:tcPr>
          <w:p w14:paraId="12BA571E">
            <w:pPr>
              <w:widowControl/>
              <w:spacing w:line="300" w:lineRule="auto"/>
              <w:jc w:val="center"/>
              <w:rPr>
                <w:rFonts w:ascii="宋体" w:hAnsi="宋体" w:cs="宋体"/>
                <w:sz w:val="21"/>
                <w:szCs w:val="21"/>
              </w:rPr>
            </w:pPr>
            <w:r>
              <w:rPr>
                <w:rFonts w:hint="eastAsia" w:ascii="宋体" w:hAnsi="宋体" w:cs="宋体"/>
                <w:sz w:val="21"/>
                <w:szCs w:val="21"/>
              </w:rPr>
              <w:t>100%</w:t>
            </w:r>
          </w:p>
        </w:tc>
      </w:tr>
    </w:tbl>
    <w:p w14:paraId="27B352FB">
      <w:pPr>
        <w:spacing w:line="360" w:lineRule="auto"/>
        <w:ind w:firstLine="560" w:firstLineChars="200"/>
        <w:rPr>
          <w:rFonts w:ascii="宋体" w:hAnsi="宋体" w:cs="宋体"/>
        </w:rPr>
      </w:pPr>
      <w:r>
        <w:rPr>
          <w:rFonts w:hint="eastAsia" w:ascii="宋体" w:hAnsi="宋体" w:cs="宋体"/>
        </w:rPr>
        <w:t>2021年14人获得学业奖学金一等奖、2人获得学业奖学金二等奖、4人获得学业奖学金三等奖、10人获得学业奖学金四等奖。一、二等学业奖学金获奖情况如表</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所示。</w:t>
      </w:r>
    </w:p>
    <w:p w14:paraId="02E77D2D">
      <w:pPr>
        <w:jc w:val="center"/>
        <w:rPr>
          <w:rFonts w:ascii="宋体" w:hAnsi="宋体" w:cs="宋体"/>
          <w:bCs/>
          <w:sz w:val="21"/>
          <w:szCs w:val="21"/>
        </w:rPr>
      </w:pPr>
      <w:r>
        <w:rPr>
          <w:rFonts w:hint="eastAsia" w:ascii="宋体" w:hAnsi="宋体" w:cs="宋体"/>
          <w:sz w:val="21"/>
          <w:szCs w:val="21"/>
        </w:rPr>
        <w:t>表</w:t>
      </w:r>
      <w:r>
        <w:rPr>
          <w:rFonts w:ascii="宋体" w:hAnsi="宋体" w:cs="宋体"/>
          <w:sz w:val="21"/>
          <w:szCs w:val="21"/>
        </w:rPr>
        <w:t>2</w:t>
      </w:r>
      <w:r>
        <w:rPr>
          <w:rFonts w:hint="eastAsia" w:ascii="宋体" w:hAnsi="宋体" w:cs="宋体"/>
          <w:sz w:val="21"/>
          <w:szCs w:val="21"/>
        </w:rPr>
        <w:t>-</w:t>
      </w:r>
      <w:r>
        <w:rPr>
          <w:rFonts w:ascii="宋体" w:hAnsi="宋体" w:cs="宋体"/>
          <w:sz w:val="21"/>
          <w:szCs w:val="21"/>
        </w:rPr>
        <w:t xml:space="preserve">3 </w:t>
      </w:r>
      <w:r>
        <w:rPr>
          <w:rFonts w:hint="eastAsia" w:ascii="宋体" w:hAnsi="宋体" w:cs="宋体"/>
          <w:bCs/>
          <w:sz w:val="21"/>
          <w:szCs w:val="21"/>
        </w:rPr>
        <w:t>2021年学业奖学金获奖情况</w:t>
      </w:r>
    </w:p>
    <w:tbl>
      <w:tblPr>
        <w:tblStyle w:val="11"/>
        <w:tblW w:w="8418"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2992"/>
        <w:gridCol w:w="3406"/>
      </w:tblGrid>
      <w:tr w14:paraId="650E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vAlign w:val="center"/>
          </w:tcPr>
          <w:p w14:paraId="73E773E8">
            <w:pPr>
              <w:spacing w:line="360" w:lineRule="auto"/>
              <w:jc w:val="center"/>
              <w:rPr>
                <w:rFonts w:ascii="宋体" w:hAnsi="宋体" w:cs="宋体"/>
                <w:b/>
                <w:bCs/>
                <w:kern w:val="0"/>
                <w:sz w:val="21"/>
                <w:szCs w:val="21"/>
              </w:rPr>
            </w:pPr>
            <w:r>
              <w:rPr>
                <w:rFonts w:hint="eastAsia" w:ascii="宋体" w:hAnsi="宋体" w:cs="宋体"/>
                <w:b/>
                <w:bCs/>
                <w:kern w:val="0"/>
                <w:sz w:val="21"/>
                <w:szCs w:val="21"/>
              </w:rPr>
              <w:t>序号</w:t>
            </w:r>
          </w:p>
        </w:tc>
        <w:tc>
          <w:tcPr>
            <w:tcW w:w="2992" w:type="dxa"/>
            <w:vAlign w:val="center"/>
          </w:tcPr>
          <w:p w14:paraId="68C27730">
            <w:pPr>
              <w:spacing w:line="360" w:lineRule="auto"/>
              <w:jc w:val="center"/>
              <w:rPr>
                <w:rFonts w:ascii="宋体" w:hAnsi="宋体" w:cs="宋体"/>
                <w:b/>
                <w:bCs/>
                <w:kern w:val="0"/>
                <w:sz w:val="21"/>
                <w:szCs w:val="21"/>
              </w:rPr>
            </w:pPr>
            <w:r>
              <w:rPr>
                <w:rFonts w:hint="eastAsia" w:ascii="宋体" w:hAnsi="宋体" w:cs="宋体"/>
                <w:b/>
                <w:bCs/>
                <w:kern w:val="0"/>
                <w:sz w:val="21"/>
                <w:szCs w:val="21"/>
              </w:rPr>
              <w:t>姓名</w:t>
            </w:r>
          </w:p>
        </w:tc>
        <w:tc>
          <w:tcPr>
            <w:tcW w:w="3406" w:type="dxa"/>
            <w:vAlign w:val="center"/>
          </w:tcPr>
          <w:p w14:paraId="1FC170ED">
            <w:pPr>
              <w:spacing w:line="360" w:lineRule="auto"/>
              <w:jc w:val="center"/>
              <w:rPr>
                <w:rFonts w:ascii="宋体" w:hAnsi="宋体" w:cs="宋体"/>
                <w:b/>
                <w:bCs/>
                <w:kern w:val="0"/>
                <w:sz w:val="21"/>
                <w:szCs w:val="21"/>
              </w:rPr>
            </w:pPr>
            <w:r>
              <w:rPr>
                <w:rFonts w:hint="eastAsia" w:ascii="宋体" w:hAnsi="宋体" w:cs="宋体"/>
                <w:b/>
                <w:bCs/>
                <w:kern w:val="0"/>
                <w:sz w:val="21"/>
                <w:szCs w:val="21"/>
              </w:rPr>
              <w:t>获奖等级</w:t>
            </w:r>
          </w:p>
        </w:tc>
      </w:tr>
      <w:tr w14:paraId="58C3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469452A7">
            <w:pPr>
              <w:spacing w:line="360" w:lineRule="auto"/>
              <w:jc w:val="center"/>
              <w:rPr>
                <w:rFonts w:ascii="宋体" w:hAnsi="宋体" w:cs="宋体"/>
                <w:kern w:val="0"/>
                <w:sz w:val="21"/>
                <w:szCs w:val="21"/>
              </w:rPr>
            </w:pPr>
            <w:r>
              <w:rPr>
                <w:rFonts w:hint="eastAsia" w:ascii="宋体" w:hAnsi="宋体" w:cs="宋体"/>
                <w:kern w:val="0"/>
                <w:sz w:val="21"/>
                <w:szCs w:val="21"/>
              </w:rPr>
              <w:t>1</w:t>
            </w:r>
          </w:p>
        </w:tc>
        <w:tc>
          <w:tcPr>
            <w:tcW w:w="2992" w:type="dxa"/>
          </w:tcPr>
          <w:p w14:paraId="1BA55F39">
            <w:pPr>
              <w:spacing w:line="360" w:lineRule="auto"/>
              <w:jc w:val="center"/>
              <w:rPr>
                <w:rFonts w:ascii="宋体" w:hAnsi="宋体" w:cs="宋体"/>
                <w:kern w:val="0"/>
                <w:sz w:val="21"/>
                <w:szCs w:val="21"/>
              </w:rPr>
            </w:pPr>
            <w:r>
              <w:rPr>
                <w:rFonts w:hint="eastAsia" w:ascii="宋体" w:hAnsi="宋体" w:cs="宋体"/>
                <w:kern w:val="0"/>
                <w:sz w:val="21"/>
                <w:szCs w:val="21"/>
              </w:rPr>
              <w:t>吕艳梅</w:t>
            </w:r>
          </w:p>
        </w:tc>
        <w:tc>
          <w:tcPr>
            <w:tcW w:w="3406" w:type="dxa"/>
          </w:tcPr>
          <w:p w14:paraId="0C7DDFB6">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0D85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75A0807C">
            <w:pPr>
              <w:spacing w:line="360" w:lineRule="auto"/>
              <w:jc w:val="center"/>
              <w:rPr>
                <w:rFonts w:ascii="宋体" w:hAnsi="宋体" w:cs="宋体"/>
                <w:kern w:val="0"/>
                <w:sz w:val="21"/>
                <w:szCs w:val="21"/>
              </w:rPr>
            </w:pPr>
            <w:r>
              <w:rPr>
                <w:rFonts w:hint="eastAsia" w:ascii="宋体" w:hAnsi="宋体" w:cs="宋体"/>
                <w:kern w:val="0"/>
                <w:sz w:val="21"/>
                <w:szCs w:val="21"/>
              </w:rPr>
              <w:t>2</w:t>
            </w:r>
          </w:p>
        </w:tc>
        <w:tc>
          <w:tcPr>
            <w:tcW w:w="2992" w:type="dxa"/>
          </w:tcPr>
          <w:p w14:paraId="4EA1C474">
            <w:pPr>
              <w:spacing w:line="360" w:lineRule="auto"/>
              <w:jc w:val="center"/>
              <w:rPr>
                <w:rFonts w:ascii="宋体" w:hAnsi="宋体" w:cs="宋体"/>
                <w:kern w:val="0"/>
                <w:sz w:val="21"/>
                <w:szCs w:val="21"/>
              </w:rPr>
            </w:pPr>
            <w:r>
              <w:rPr>
                <w:rFonts w:hint="eastAsia" w:ascii="宋体" w:hAnsi="宋体" w:cs="宋体"/>
                <w:kern w:val="0"/>
                <w:sz w:val="21"/>
                <w:szCs w:val="21"/>
              </w:rPr>
              <w:t>赵茜雅</w:t>
            </w:r>
          </w:p>
        </w:tc>
        <w:tc>
          <w:tcPr>
            <w:tcW w:w="3406" w:type="dxa"/>
          </w:tcPr>
          <w:p w14:paraId="777C6B7E">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6E99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161D0956">
            <w:pPr>
              <w:spacing w:line="360" w:lineRule="auto"/>
              <w:jc w:val="center"/>
              <w:rPr>
                <w:rFonts w:ascii="宋体" w:hAnsi="宋体" w:cs="宋体"/>
                <w:kern w:val="0"/>
                <w:sz w:val="21"/>
                <w:szCs w:val="21"/>
              </w:rPr>
            </w:pPr>
            <w:r>
              <w:rPr>
                <w:rFonts w:hint="eastAsia" w:ascii="宋体" w:hAnsi="宋体" w:cs="宋体"/>
                <w:kern w:val="0"/>
                <w:sz w:val="21"/>
                <w:szCs w:val="21"/>
              </w:rPr>
              <w:t>3</w:t>
            </w:r>
          </w:p>
        </w:tc>
        <w:tc>
          <w:tcPr>
            <w:tcW w:w="2992" w:type="dxa"/>
          </w:tcPr>
          <w:p w14:paraId="0A284ABF">
            <w:pPr>
              <w:spacing w:line="360" w:lineRule="auto"/>
              <w:jc w:val="center"/>
              <w:rPr>
                <w:rFonts w:ascii="宋体" w:hAnsi="宋体" w:cs="宋体"/>
                <w:kern w:val="0"/>
                <w:sz w:val="21"/>
                <w:szCs w:val="21"/>
              </w:rPr>
            </w:pPr>
            <w:r>
              <w:rPr>
                <w:rFonts w:hint="eastAsia" w:ascii="宋体" w:hAnsi="宋体" w:cs="宋体"/>
                <w:kern w:val="0"/>
                <w:sz w:val="21"/>
                <w:szCs w:val="21"/>
              </w:rPr>
              <w:t>王琦琦</w:t>
            </w:r>
          </w:p>
        </w:tc>
        <w:tc>
          <w:tcPr>
            <w:tcW w:w="3406" w:type="dxa"/>
          </w:tcPr>
          <w:p w14:paraId="2F928438">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3FD2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72D3EC83">
            <w:pPr>
              <w:spacing w:line="360" w:lineRule="auto"/>
              <w:jc w:val="center"/>
              <w:rPr>
                <w:rFonts w:ascii="宋体" w:hAnsi="宋体" w:cs="宋体"/>
                <w:kern w:val="0"/>
                <w:sz w:val="21"/>
                <w:szCs w:val="21"/>
              </w:rPr>
            </w:pPr>
            <w:r>
              <w:rPr>
                <w:rFonts w:hint="eastAsia" w:ascii="宋体" w:hAnsi="宋体" w:cs="宋体"/>
                <w:kern w:val="0"/>
                <w:sz w:val="21"/>
                <w:szCs w:val="21"/>
              </w:rPr>
              <w:t>4</w:t>
            </w:r>
          </w:p>
        </w:tc>
        <w:tc>
          <w:tcPr>
            <w:tcW w:w="2992" w:type="dxa"/>
          </w:tcPr>
          <w:p w14:paraId="71FA6931">
            <w:pPr>
              <w:spacing w:line="360" w:lineRule="auto"/>
              <w:jc w:val="center"/>
              <w:rPr>
                <w:rFonts w:ascii="宋体" w:hAnsi="宋体" w:cs="宋体"/>
                <w:kern w:val="0"/>
                <w:sz w:val="21"/>
                <w:szCs w:val="21"/>
              </w:rPr>
            </w:pPr>
            <w:r>
              <w:rPr>
                <w:rFonts w:hint="eastAsia" w:ascii="宋体" w:hAnsi="宋体" w:cs="宋体"/>
                <w:kern w:val="0"/>
                <w:sz w:val="21"/>
                <w:szCs w:val="21"/>
              </w:rPr>
              <w:t>史玉玲</w:t>
            </w:r>
          </w:p>
        </w:tc>
        <w:tc>
          <w:tcPr>
            <w:tcW w:w="3406" w:type="dxa"/>
          </w:tcPr>
          <w:p w14:paraId="1B00DC96">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16AE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0C0956E3">
            <w:pPr>
              <w:spacing w:line="360" w:lineRule="auto"/>
              <w:jc w:val="center"/>
              <w:rPr>
                <w:rFonts w:ascii="宋体" w:hAnsi="宋体" w:cs="宋体"/>
                <w:kern w:val="0"/>
                <w:sz w:val="21"/>
                <w:szCs w:val="21"/>
              </w:rPr>
            </w:pPr>
            <w:r>
              <w:rPr>
                <w:rFonts w:hint="eastAsia" w:ascii="宋体" w:hAnsi="宋体" w:cs="宋体"/>
                <w:kern w:val="0"/>
                <w:sz w:val="21"/>
                <w:szCs w:val="21"/>
              </w:rPr>
              <w:t>5</w:t>
            </w:r>
          </w:p>
        </w:tc>
        <w:tc>
          <w:tcPr>
            <w:tcW w:w="2992" w:type="dxa"/>
          </w:tcPr>
          <w:p w14:paraId="69E831FC">
            <w:pPr>
              <w:spacing w:line="360" w:lineRule="auto"/>
              <w:jc w:val="center"/>
              <w:rPr>
                <w:rFonts w:ascii="宋体" w:hAnsi="宋体" w:cs="宋体"/>
                <w:kern w:val="0"/>
                <w:sz w:val="21"/>
                <w:szCs w:val="21"/>
              </w:rPr>
            </w:pPr>
            <w:r>
              <w:rPr>
                <w:rFonts w:hint="eastAsia" w:ascii="宋体" w:hAnsi="宋体" w:cs="宋体"/>
                <w:kern w:val="0"/>
                <w:sz w:val="21"/>
                <w:szCs w:val="21"/>
              </w:rPr>
              <w:t>樊晓慧</w:t>
            </w:r>
          </w:p>
        </w:tc>
        <w:tc>
          <w:tcPr>
            <w:tcW w:w="3406" w:type="dxa"/>
          </w:tcPr>
          <w:p w14:paraId="1834457C">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2E3D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77FA1A5A">
            <w:pPr>
              <w:spacing w:line="360" w:lineRule="auto"/>
              <w:jc w:val="center"/>
              <w:rPr>
                <w:rFonts w:ascii="宋体" w:hAnsi="宋体" w:cs="宋体"/>
                <w:kern w:val="0"/>
                <w:sz w:val="21"/>
                <w:szCs w:val="21"/>
              </w:rPr>
            </w:pPr>
            <w:r>
              <w:rPr>
                <w:rFonts w:hint="eastAsia" w:ascii="宋体" w:hAnsi="宋体" w:cs="宋体"/>
                <w:kern w:val="0"/>
                <w:sz w:val="21"/>
                <w:szCs w:val="21"/>
              </w:rPr>
              <w:t>6</w:t>
            </w:r>
          </w:p>
        </w:tc>
        <w:tc>
          <w:tcPr>
            <w:tcW w:w="2992" w:type="dxa"/>
          </w:tcPr>
          <w:p w14:paraId="00FA522E">
            <w:pPr>
              <w:spacing w:line="360" w:lineRule="auto"/>
              <w:jc w:val="center"/>
              <w:rPr>
                <w:rFonts w:ascii="宋体" w:hAnsi="宋体" w:cs="宋体"/>
                <w:kern w:val="0"/>
                <w:sz w:val="21"/>
                <w:szCs w:val="21"/>
              </w:rPr>
            </w:pPr>
            <w:r>
              <w:rPr>
                <w:rFonts w:hint="eastAsia" w:ascii="宋体" w:hAnsi="宋体" w:cs="宋体"/>
                <w:kern w:val="0"/>
                <w:sz w:val="21"/>
                <w:szCs w:val="21"/>
              </w:rPr>
              <w:t>杨燕敏</w:t>
            </w:r>
          </w:p>
        </w:tc>
        <w:tc>
          <w:tcPr>
            <w:tcW w:w="3406" w:type="dxa"/>
          </w:tcPr>
          <w:p w14:paraId="6AD162E3">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5FF4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295F53CD">
            <w:pPr>
              <w:spacing w:line="360" w:lineRule="auto"/>
              <w:jc w:val="center"/>
              <w:rPr>
                <w:rFonts w:ascii="宋体" w:hAnsi="宋体" w:cs="宋体"/>
                <w:kern w:val="0"/>
                <w:sz w:val="21"/>
                <w:szCs w:val="21"/>
              </w:rPr>
            </w:pPr>
            <w:r>
              <w:rPr>
                <w:rFonts w:hint="eastAsia" w:ascii="宋体" w:hAnsi="宋体" w:cs="宋体"/>
                <w:kern w:val="0"/>
                <w:sz w:val="21"/>
                <w:szCs w:val="21"/>
              </w:rPr>
              <w:t>7</w:t>
            </w:r>
          </w:p>
        </w:tc>
        <w:tc>
          <w:tcPr>
            <w:tcW w:w="2992" w:type="dxa"/>
          </w:tcPr>
          <w:p w14:paraId="55F3EE50">
            <w:pPr>
              <w:spacing w:line="360" w:lineRule="auto"/>
              <w:jc w:val="center"/>
              <w:rPr>
                <w:rFonts w:ascii="宋体" w:hAnsi="宋体" w:cs="宋体"/>
                <w:kern w:val="0"/>
                <w:sz w:val="21"/>
                <w:szCs w:val="21"/>
              </w:rPr>
            </w:pPr>
            <w:r>
              <w:rPr>
                <w:rFonts w:hint="eastAsia" w:ascii="宋体" w:hAnsi="宋体" w:cs="宋体"/>
                <w:kern w:val="0"/>
                <w:sz w:val="21"/>
                <w:szCs w:val="21"/>
              </w:rPr>
              <w:t>贾珊珊</w:t>
            </w:r>
          </w:p>
        </w:tc>
        <w:tc>
          <w:tcPr>
            <w:tcW w:w="3406" w:type="dxa"/>
          </w:tcPr>
          <w:p w14:paraId="04C5A1E2">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45E5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7CB3C46E">
            <w:pPr>
              <w:spacing w:line="360" w:lineRule="auto"/>
              <w:jc w:val="center"/>
              <w:rPr>
                <w:rFonts w:ascii="宋体" w:hAnsi="宋体" w:cs="宋体"/>
                <w:kern w:val="0"/>
                <w:sz w:val="21"/>
                <w:szCs w:val="21"/>
              </w:rPr>
            </w:pPr>
            <w:r>
              <w:rPr>
                <w:rFonts w:hint="eastAsia" w:ascii="宋体" w:hAnsi="宋体" w:cs="宋体"/>
                <w:kern w:val="0"/>
                <w:sz w:val="21"/>
                <w:szCs w:val="21"/>
              </w:rPr>
              <w:t>8</w:t>
            </w:r>
          </w:p>
        </w:tc>
        <w:tc>
          <w:tcPr>
            <w:tcW w:w="2992" w:type="dxa"/>
          </w:tcPr>
          <w:p w14:paraId="752D3D4E">
            <w:pPr>
              <w:spacing w:line="360" w:lineRule="auto"/>
              <w:jc w:val="center"/>
              <w:rPr>
                <w:rFonts w:ascii="宋体" w:hAnsi="宋体" w:cs="宋体"/>
                <w:kern w:val="0"/>
                <w:sz w:val="21"/>
                <w:szCs w:val="21"/>
              </w:rPr>
            </w:pPr>
            <w:r>
              <w:rPr>
                <w:rFonts w:hint="eastAsia" w:ascii="宋体" w:hAnsi="宋体" w:cs="宋体"/>
                <w:kern w:val="0"/>
                <w:sz w:val="21"/>
                <w:szCs w:val="21"/>
              </w:rPr>
              <w:t>高鑫</w:t>
            </w:r>
          </w:p>
        </w:tc>
        <w:tc>
          <w:tcPr>
            <w:tcW w:w="3406" w:type="dxa"/>
          </w:tcPr>
          <w:p w14:paraId="7BEC7AD3">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6659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342BC0BF">
            <w:pPr>
              <w:spacing w:line="360" w:lineRule="auto"/>
              <w:jc w:val="center"/>
              <w:rPr>
                <w:rFonts w:ascii="宋体" w:hAnsi="宋体" w:cs="宋体"/>
                <w:kern w:val="0"/>
                <w:sz w:val="21"/>
                <w:szCs w:val="21"/>
              </w:rPr>
            </w:pPr>
            <w:r>
              <w:rPr>
                <w:rFonts w:hint="eastAsia" w:ascii="宋体" w:hAnsi="宋体" w:cs="宋体"/>
                <w:kern w:val="0"/>
                <w:sz w:val="21"/>
                <w:szCs w:val="21"/>
              </w:rPr>
              <w:t>9</w:t>
            </w:r>
          </w:p>
        </w:tc>
        <w:tc>
          <w:tcPr>
            <w:tcW w:w="2992" w:type="dxa"/>
          </w:tcPr>
          <w:p w14:paraId="5F0B1633">
            <w:pPr>
              <w:spacing w:line="360" w:lineRule="auto"/>
              <w:jc w:val="center"/>
              <w:rPr>
                <w:rFonts w:ascii="宋体" w:hAnsi="宋体" w:cs="宋体"/>
                <w:kern w:val="0"/>
                <w:sz w:val="21"/>
                <w:szCs w:val="21"/>
              </w:rPr>
            </w:pPr>
            <w:r>
              <w:rPr>
                <w:rFonts w:hint="eastAsia" w:ascii="宋体" w:hAnsi="宋体" w:cs="宋体"/>
                <w:kern w:val="0"/>
                <w:sz w:val="21"/>
                <w:szCs w:val="21"/>
              </w:rPr>
              <w:t>苏姿薇</w:t>
            </w:r>
          </w:p>
        </w:tc>
        <w:tc>
          <w:tcPr>
            <w:tcW w:w="3406" w:type="dxa"/>
          </w:tcPr>
          <w:p w14:paraId="55075150">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2540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0360EC99">
            <w:pPr>
              <w:spacing w:line="360" w:lineRule="auto"/>
              <w:jc w:val="center"/>
              <w:rPr>
                <w:rFonts w:ascii="宋体" w:hAnsi="宋体" w:cs="宋体"/>
                <w:kern w:val="0"/>
                <w:sz w:val="21"/>
                <w:szCs w:val="21"/>
              </w:rPr>
            </w:pPr>
            <w:r>
              <w:rPr>
                <w:rFonts w:hint="eastAsia" w:ascii="宋体" w:hAnsi="宋体" w:cs="宋体"/>
                <w:kern w:val="0"/>
                <w:sz w:val="21"/>
                <w:szCs w:val="21"/>
              </w:rPr>
              <w:t>10</w:t>
            </w:r>
          </w:p>
        </w:tc>
        <w:tc>
          <w:tcPr>
            <w:tcW w:w="2992" w:type="dxa"/>
          </w:tcPr>
          <w:p w14:paraId="7F3DD1A3">
            <w:pPr>
              <w:spacing w:line="360" w:lineRule="auto"/>
              <w:jc w:val="center"/>
              <w:rPr>
                <w:rFonts w:ascii="宋体" w:hAnsi="宋体" w:cs="宋体"/>
                <w:kern w:val="0"/>
                <w:sz w:val="21"/>
                <w:szCs w:val="21"/>
              </w:rPr>
            </w:pPr>
            <w:r>
              <w:rPr>
                <w:rFonts w:hint="eastAsia" w:ascii="宋体" w:hAnsi="宋体" w:cs="宋体"/>
                <w:kern w:val="0"/>
                <w:sz w:val="21"/>
                <w:szCs w:val="21"/>
              </w:rPr>
              <w:t>何金哲</w:t>
            </w:r>
          </w:p>
        </w:tc>
        <w:tc>
          <w:tcPr>
            <w:tcW w:w="3406" w:type="dxa"/>
          </w:tcPr>
          <w:p w14:paraId="78B3974E">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5EBE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092E2373">
            <w:pPr>
              <w:spacing w:line="360" w:lineRule="auto"/>
              <w:jc w:val="center"/>
              <w:rPr>
                <w:rFonts w:ascii="宋体" w:hAnsi="宋体" w:cs="宋体"/>
                <w:kern w:val="0"/>
                <w:sz w:val="21"/>
                <w:szCs w:val="21"/>
              </w:rPr>
            </w:pPr>
            <w:r>
              <w:rPr>
                <w:rFonts w:hint="eastAsia" w:ascii="宋体" w:hAnsi="宋体" w:cs="宋体"/>
                <w:kern w:val="0"/>
                <w:sz w:val="21"/>
                <w:szCs w:val="21"/>
              </w:rPr>
              <w:t>11</w:t>
            </w:r>
          </w:p>
        </w:tc>
        <w:tc>
          <w:tcPr>
            <w:tcW w:w="2992" w:type="dxa"/>
          </w:tcPr>
          <w:p w14:paraId="05157FD8">
            <w:pPr>
              <w:spacing w:line="360" w:lineRule="auto"/>
              <w:jc w:val="center"/>
              <w:rPr>
                <w:rFonts w:ascii="宋体" w:hAnsi="宋体" w:cs="宋体"/>
                <w:kern w:val="0"/>
                <w:sz w:val="21"/>
                <w:szCs w:val="21"/>
              </w:rPr>
            </w:pPr>
            <w:r>
              <w:rPr>
                <w:rFonts w:hint="eastAsia" w:ascii="宋体" w:hAnsi="宋体" w:cs="宋体"/>
                <w:kern w:val="0"/>
                <w:sz w:val="21"/>
                <w:szCs w:val="21"/>
              </w:rPr>
              <w:t>史玉娇</w:t>
            </w:r>
          </w:p>
        </w:tc>
        <w:tc>
          <w:tcPr>
            <w:tcW w:w="3406" w:type="dxa"/>
          </w:tcPr>
          <w:p w14:paraId="465AE173">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3F39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1A0DF416">
            <w:pPr>
              <w:spacing w:line="360" w:lineRule="auto"/>
              <w:jc w:val="center"/>
              <w:rPr>
                <w:rFonts w:ascii="宋体" w:hAnsi="宋体" w:cs="宋体"/>
                <w:kern w:val="0"/>
                <w:sz w:val="21"/>
                <w:szCs w:val="21"/>
              </w:rPr>
            </w:pPr>
            <w:r>
              <w:rPr>
                <w:rFonts w:hint="eastAsia" w:ascii="宋体" w:hAnsi="宋体" w:cs="宋体"/>
                <w:kern w:val="0"/>
                <w:sz w:val="21"/>
                <w:szCs w:val="21"/>
              </w:rPr>
              <w:t>12</w:t>
            </w:r>
          </w:p>
        </w:tc>
        <w:tc>
          <w:tcPr>
            <w:tcW w:w="2992" w:type="dxa"/>
          </w:tcPr>
          <w:p w14:paraId="3ADBA4EB">
            <w:pPr>
              <w:spacing w:line="360" w:lineRule="auto"/>
              <w:jc w:val="center"/>
              <w:rPr>
                <w:rFonts w:ascii="宋体" w:hAnsi="宋体" w:cs="宋体"/>
                <w:kern w:val="0"/>
                <w:sz w:val="21"/>
                <w:szCs w:val="21"/>
              </w:rPr>
            </w:pPr>
            <w:r>
              <w:rPr>
                <w:rFonts w:hint="eastAsia" w:ascii="宋体" w:hAnsi="宋体" w:cs="宋体"/>
                <w:kern w:val="0"/>
                <w:sz w:val="21"/>
                <w:szCs w:val="21"/>
              </w:rPr>
              <w:t>卢天萌</w:t>
            </w:r>
          </w:p>
        </w:tc>
        <w:tc>
          <w:tcPr>
            <w:tcW w:w="3406" w:type="dxa"/>
          </w:tcPr>
          <w:p w14:paraId="7D6F6550">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3F13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47B5A163">
            <w:pPr>
              <w:spacing w:line="360" w:lineRule="auto"/>
              <w:jc w:val="center"/>
              <w:rPr>
                <w:rFonts w:ascii="宋体" w:hAnsi="宋体" w:cs="宋体"/>
                <w:kern w:val="0"/>
                <w:sz w:val="21"/>
                <w:szCs w:val="21"/>
              </w:rPr>
            </w:pPr>
            <w:r>
              <w:rPr>
                <w:rFonts w:hint="eastAsia" w:ascii="宋体" w:hAnsi="宋体" w:cs="宋体"/>
                <w:kern w:val="0"/>
                <w:sz w:val="21"/>
                <w:szCs w:val="21"/>
              </w:rPr>
              <w:t>13</w:t>
            </w:r>
          </w:p>
        </w:tc>
        <w:tc>
          <w:tcPr>
            <w:tcW w:w="2992" w:type="dxa"/>
          </w:tcPr>
          <w:p w14:paraId="64947588">
            <w:pPr>
              <w:spacing w:line="360" w:lineRule="auto"/>
              <w:jc w:val="center"/>
              <w:rPr>
                <w:rFonts w:ascii="宋体" w:hAnsi="宋体" w:cs="宋体"/>
                <w:kern w:val="0"/>
                <w:sz w:val="21"/>
                <w:szCs w:val="21"/>
              </w:rPr>
            </w:pPr>
            <w:r>
              <w:rPr>
                <w:rFonts w:hint="eastAsia" w:ascii="宋体" w:hAnsi="宋体" w:cs="宋体"/>
                <w:kern w:val="0"/>
                <w:sz w:val="21"/>
                <w:szCs w:val="21"/>
              </w:rPr>
              <w:t>段靖玲</w:t>
            </w:r>
          </w:p>
        </w:tc>
        <w:tc>
          <w:tcPr>
            <w:tcW w:w="3406" w:type="dxa"/>
          </w:tcPr>
          <w:p w14:paraId="102FCB83">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4CCF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6B47F9BF">
            <w:pPr>
              <w:spacing w:line="360" w:lineRule="auto"/>
              <w:jc w:val="center"/>
              <w:rPr>
                <w:rFonts w:ascii="宋体" w:hAnsi="宋体" w:cs="宋体"/>
                <w:kern w:val="0"/>
                <w:sz w:val="21"/>
                <w:szCs w:val="21"/>
              </w:rPr>
            </w:pPr>
            <w:r>
              <w:rPr>
                <w:rFonts w:hint="eastAsia" w:ascii="宋体" w:hAnsi="宋体" w:cs="宋体"/>
                <w:kern w:val="0"/>
                <w:sz w:val="21"/>
                <w:szCs w:val="21"/>
              </w:rPr>
              <w:t>14</w:t>
            </w:r>
          </w:p>
        </w:tc>
        <w:tc>
          <w:tcPr>
            <w:tcW w:w="2992" w:type="dxa"/>
          </w:tcPr>
          <w:p w14:paraId="756E8079">
            <w:pPr>
              <w:spacing w:line="360" w:lineRule="auto"/>
              <w:jc w:val="center"/>
              <w:rPr>
                <w:rFonts w:ascii="宋体" w:hAnsi="宋体" w:cs="宋体"/>
                <w:kern w:val="0"/>
                <w:sz w:val="21"/>
                <w:szCs w:val="21"/>
              </w:rPr>
            </w:pPr>
            <w:r>
              <w:rPr>
                <w:rFonts w:hint="eastAsia" w:ascii="宋体" w:hAnsi="宋体" w:cs="宋体"/>
                <w:kern w:val="0"/>
                <w:sz w:val="21"/>
                <w:szCs w:val="21"/>
              </w:rPr>
              <w:t>焦天钰</w:t>
            </w:r>
          </w:p>
        </w:tc>
        <w:tc>
          <w:tcPr>
            <w:tcW w:w="3406" w:type="dxa"/>
          </w:tcPr>
          <w:p w14:paraId="77AC82E7">
            <w:pPr>
              <w:spacing w:line="360" w:lineRule="auto"/>
              <w:jc w:val="center"/>
              <w:rPr>
                <w:rFonts w:ascii="宋体" w:hAnsi="宋体" w:cs="宋体"/>
                <w:kern w:val="0"/>
                <w:sz w:val="21"/>
                <w:szCs w:val="21"/>
              </w:rPr>
            </w:pPr>
            <w:r>
              <w:rPr>
                <w:rFonts w:hint="eastAsia" w:ascii="宋体" w:hAnsi="宋体" w:cs="宋体"/>
                <w:kern w:val="0"/>
                <w:sz w:val="21"/>
                <w:szCs w:val="21"/>
              </w:rPr>
              <w:t>一等奖学金</w:t>
            </w:r>
          </w:p>
        </w:tc>
      </w:tr>
      <w:tr w14:paraId="078B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0" w:type="dxa"/>
          </w:tcPr>
          <w:p w14:paraId="22E8F21D">
            <w:pPr>
              <w:spacing w:line="360" w:lineRule="auto"/>
              <w:jc w:val="center"/>
              <w:rPr>
                <w:rFonts w:ascii="宋体" w:hAnsi="宋体" w:cs="宋体"/>
                <w:kern w:val="0"/>
                <w:sz w:val="21"/>
                <w:szCs w:val="21"/>
              </w:rPr>
            </w:pPr>
            <w:r>
              <w:rPr>
                <w:rFonts w:hint="eastAsia" w:ascii="宋体" w:hAnsi="宋体" w:cs="宋体"/>
                <w:kern w:val="0"/>
                <w:sz w:val="21"/>
                <w:szCs w:val="21"/>
              </w:rPr>
              <w:t>15</w:t>
            </w:r>
          </w:p>
        </w:tc>
        <w:tc>
          <w:tcPr>
            <w:tcW w:w="2992" w:type="dxa"/>
          </w:tcPr>
          <w:p w14:paraId="71A313A2">
            <w:pPr>
              <w:spacing w:line="360" w:lineRule="auto"/>
              <w:jc w:val="center"/>
              <w:rPr>
                <w:rFonts w:ascii="宋体" w:hAnsi="宋体" w:cs="宋体"/>
                <w:kern w:val="0"/>
                <w:sz w:val="21"/>
                <w:szCs w:val="21"/>
              </w:rPr>
            </w:pPr>
            <w:r>
              <w:rPr>
                <w:rFonts w:hint="eastAsia" w:ascii="宋体" w:hAnsi="宋体" w:cs="宋体"/>
                <w:kern w:val="0"/>
                <w:sz w:val="21"/>
                <w:szCs w:val="21"/>
              </w:rPr>
              <w:t>史敏</w:t>
            </w:r>
          </w:p>
        </w:tc>
        <w:tc>
          <w:tcPr>
            <w:tcW w:w="3406" w:type="dxa"/>
          </w:tcPr>
          <w:p w14:paraId="2174A074">
            <w:pPr>
              <w:spacing w:line="360" w:lineRule="auto"/>
              <w:jc w:val="center"/>
              <w:rPr>
                <w:rFonts w:ascii="宋体" w:hAnsi="宋体" w:cs="宋体"/>
                <w:kern w:val="0"/>
                <w:sz w:val="21"/>
                <w:szCs w:val="21"/>
              </w:rPr>
            </w:pPr>
            <w:r>
              <w:rPr>
                <w:rFonts w:hint="eastAsia" w:ascii="宋体" w:hAnsi="宋体" w:cs="宋体"/>
                <w:kern w:val="0"/>
                <w:sz w:val="21"/>
                <w:szCs w:val="21"/>
              </w:rPr>
              <w:t>二等奖学金</w:t>
            </w:r>
          </w:p>
        </w:tc>
      </w:tr>
      <w:tr w14:paraId="5678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20" w:type="dxa"/>
          </w:tcPr>
          <w:p w14:paraId="589BF877">
            <w:pPr>
              <w:spacing w:line="360" w:lineRule="auto"/>
              <w:jc w:val="center"/>
              <w:rPr>
                <w:rFonts w:ascii="宋体" w:hAnsi="宋体" w:cs="宋体"/>
                <w:kern w:val="0"/>
                <w:sz w:val="21"/>
                <w:szCs w:val="21"/>
              </w:rPr>
            </w:pPr>
            <w:r>
              <w:rPr>
                <w:rFonts w:hint="eastAsia" w:ascii="宋体" w:hAnsi="宋体" w:cs="宋体"/>
                <w:kern w:val="0"/>
                <w:sz w:val="21"/>
                <w:szCs w:val="21"/>
              </w:rPr>
              <w:t>16</w:t>
            </w:r>
          </w:p>
        </w:tc>
        <w:tc>
          <w:tcPr>
            <w:tcW w:w="2992" w:type="dxa"/>
          </w:tcPr>
          <w:p w14:paraId="36179179">
            <w:pPr>
              <w:spacing w:line="360" w:lineRule="auto"/>
              <w:jc w:val="center"/>
              <w:rPr>
                <w:rFonts w:ascii="宋体" w:hAnsi="宋体" w:cs="宋体"/>
                <w:kern w:val="0"/>
                <w:sz w:val="21"/>
                <w:szCs w:val="21"/>
              </w:rPr>
            </w:pPr>
            <w:r>
              <w:rPr>
                <w:rFonts w:hint="eastAsia" w:ascii="宋体" w:hAnsi="宋体" w:cs="宋体"/>
                <w:kern w:val="0"/>
                <w:sz w:val="21"/>
                <w:szCs w:val="21"/>
              </w:rPr>
              <w:t>姚羽飞</w:t>
            </w:r>
          </w:p>
        </w:tc>
        <w:tc>
          <w:tcPr>
            <w:tcW w:w="3406" w:type="dxa"/>
          </w:tcPr>
          <w:p w14:paraId="39B60011">
            <w:pPr>
              <w:spacing w:line="360" w:lineRule="auto"/>
              <w:jc w:val="center"/>
              <w:rPr>
                <w:rFonts w:ascii="宋体" w:hAnsi="宋体" w:cs="宋体"/>
                <w:kern w:val="0"/>
                <w:sz w:val="21"/>
                <w:szCs w:val="21"/>
              </w:rPr>
            </w:pPr>
            <w:r>
              <w:rPr>
                <w:rFonts w:hint="eastAsia" w:ascii="宋体" w:hAnsi="宋体" w:cs="宋体"/>
                <w:kern w:val="0"/>
                <w:sz w:val="21"/>
                <w:szCs w:val="21"/>
              </w:rPr>
              <w:t>二等奖学金</w:t>
            </w:r>
          </w:p>
        </w:tc>
      </w:tr>
    </w:tbl>
    <w:p w14:paraId="611A67F1">
      <w:pPr>
        <w:pStyle w:val="4"/>
      </w:pPr>
      <w:r>
        <w:t>三、人才培养</w:t>
      </w:r>
    </w:p>
    <w:p w14:paraId="6B4B602E">
      <w:pPr>
        <w:pStyle w:val="2"/>
      </w:pPr>
      <w:r>
        <w:rPr>
          <w:rFonts w:hint="eastAsia"/>
        </w:rPr>
        <w:t>3</w:t>
      </w:r>
      <w:r>
        <w:t>.1招生选拔</w:t>
      </w:r>
    </w:p>
    <w:p w14:paraId="184A59D6">
      <w:pPr>
        <w:widowControl/>
        <w:spacing w:line="360" w:lineRule="auto"/>
        <w:ind w:firstLine="560" w:firstLineChars="200"/>
        <w:rPr>
          <w:rFonts w:ascii="宋体" w:hAnsi="宋体" w:cs="宋体"/>
        </w:rPr>
      </w:pPr>
      <w:r>
        <w:rPr>
          <w:rFonts w:hint="eastAsia" w:ascii="宋体" w:hAnsi="宋体" w:cs="宋体"/>
        </w:rPr>
        <w:t>自学位点获批以来，共完成了12届硕士研究生招生。生源相对集中并具有多样性，除了天津城建大学外，还包括北京建筑大学、河北工业大学、吉林建筑大学、青岛理工大学、山东建筑大学、山东理工大学等。截至2021年，本学位点在读研究生（2019-2021级）共有33名。</w:t>
      </w:r>
    </w:p>
    <w:p w14:paraId="74EA359D">
      <w:pPr>
        <w:spacing w:line="360" w:lineRule="auto"/>
        <w:ind w:firstLine="560" w:firstLineChars="200"/>
        <w:rPr>
          <w:rFonts w:ascii="宋体" w:hAnsi="宋体"/>
          <w:szCs w:val="28"/>
        </w:rPr>
      </w:pPr>
      <w:r>
        <w:rPr>
          <w:rFonts w:hint="eastAsia" w:ascii="宋体" w:hAnsi="宋体" w:cs="宋体"/>
        </w:rPr>
        <w:t>2021年圆满完成招生计划，本学位点城乡规划学专业录取12人</w:t>
      </w:r>
      <w:r>
        <w:rPr>
          <w:rFonts w:hint="eastAsia" w:ascii="宋体" w:hAnsi="宋体"/>
          <w:szCs w:val="28"/>
        </w:rPr>
        <w:t>（含调剂），招生计划、上线考生数量等信息如表3-</w:t>
      </w:r>
      <w:r>
        <w:rPr>
          <w:rFonts w:ascii="宋体" w:hAnsi="宋体"/>
          <w:szCs w:val="28"/>
        </w:rPr>
        <w:t>1所示</w:t>
      </w:r>
      <w:r>
        <w:rPr>
          <w:rFonts w:hint="eastAsia" w:ascii="宋体" w:hAnsi="宋体"/>
          <w:szCs w:val="28"/>
        </w:rPr>
        <w:t>。为保证生源质量，根据《天津城建大学</w:t>
      </w:r>
      <w:r>
        <w:rPr>
          <w:rFonts w:ascii="宋体" w:hAnsi="宋体"/>
          <w:szCs w:val="28"/>
        </w:rPr>
        <w:t>2021年硕士研究生招生复试录取工作方案》，结合我院实际情况，制定</w:t>
      </w:r>
      <w:r>
        <w:rPr>
          <w:rFonts w:hint="eastAsia" w:ascii="宋体" w:hAnsi="宋体"/>
          <w:szCs w:val="28"/>
        </w:rPr>
        <w:t>复试录取工作</w:t>
      </w:r>
      <w:r>
        <w:rPr>
          <w:rFonts w:ascii="宋体" w:hAnsi="宋体"/>
          <w:szCs w:val="28"/>
        </w:rPr>
        <w:t>实施细则。针对</w:t>
      </w:r>
      <w:r>
        <w:rPr>
          <w:rFonts w:hint="eastAsia" w:ascii="宋体" w:hAnsi="宋体"/>
          <w:szCs w:val="28"/>
        </w:rPr>
        <w:t>一志愿考生：城乡规划学（</w:t>
      </w:r>
      <w:r>
        <w:rPr>
          <w:rFonts w:ascii="宋体" w:hAnsi="宋体"/>
          <w:szCs w:val="28"/>
        </w:rPr>
        <w:t>083300）“01城乡规划”研究方向初试总分数320分及以上，且单科达到国家A类地区复试分数线；其他专业（方向）初试单科和总分数均达到国家A类地区复试分数线。</w:t>
      </w:r>
      <w:r>
        <w:rPr>
          <w:rFonts w:hint="eastAsia" w:ascii="宋体" w:hAnsi="宋体"/>
          <w:szCs w:val="28"/>
        </w:rPr>
        <w:t>针对调剂生源考生：初试单科和总分数均达到国家</w:t>
      </w:r>
      <w:r>
        <w:rPr>
          <w:rFonts w:ascii="宋体" w:hAnsi="宋体"/>
          <w:szCs w:val="28"/>
        </w:rPr>
        <w:t>A类地区复试分数线，且除城乡规划学专业“02区域规划与空间发展战略”研究方向外，其他专业业务课（理论类）科目单科成绩不低于70（150满分），业务课（设计类）科目单科成绩不低于80（150满分）。</w:t>
      </w:r>
    </w:p>
    <w:p w14:paraId="1CCA48BC">
      <w:pPr>
        <w:spacing w:line="360" w:lineRule="auto"/>
        <w:jc w:val="center"/>
        <w:rPr>
          <w:rFonts w:ascii="宋体" w:hAnsi="宋体"/>
          <w:sz w:val="21"/>
          <w:szCs w:val="28"/>
        </w:rPr>
      </w:pPr>
      <w:r>
        <w:rPr>
          <w:rFonts w:ascii="宋体" w:hAnsi="宋体"/>
          <w:sz w:val="21"/>
          <w:szCs w:val="28"/>
        </w:rPr>
        <w:t>表</w:t>
      </w:r>
      <w:r>
        <w:rPr>
          <w:rFonts w:hint="eastAsia" w:ascii="宋体" w:hAnsi="宋体"/>
          <w:sz w:val="21"/>
          <w:szCs w:val="28"/>
        </w:rPr>
        <w:t>3-1</w:t>
      </w:r>
      <w:r>
        <w:rPr>
          <w:rFonts w:ascii="宋体" w:hAnsi="宋体"/>
          <w:sz w:val="21"/>
          <w:szCs w:val="28"/>
        </w:rPr>
        <w:t xml:space="preserve"> 学位点招生情况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1"/>
        <w:gridCol w:w="1087"/>
        <w:gridCol w:w="1087"/>
        <w:gridCol w:w="1086"/>
        <w:gridCol w:w="850"/>
        <w:gridCol w:w="904"/>
      </w:tblGrid>
      <w:tr w14:paraId="2121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shd w:val="clear" w:color="auto" w:fill="FFFFFF" w:themeFill="background1"/>
            <w:vAlign w:val="center"/>
          </w:tcPr>
          <w:p w14:paraId="2D7978A5">
            <w:pPr>
              <w:jc w:val="center"/>
              <w:rPr>
                <w:rFonts w:ascii="宋体" w:hAnsi="宋体"/>
                <w:b/>
                <w:sz w:val="21"/>
                <w:szCs w:val="32"/>
              </w:rPr>
            </w:pPr>
            <w:r>
              <w:rPr>
                <w:rFonts w:hint="eastAsia" w:ascii="宋体" w:hAnsi="宋体"/>
                <w:b/>
                <w:sz w:val="21"/>
                <w:szCs w:val="32"/>
              </w:rPr>
              <w:t>专业代码</w:t>
            </w:r>
          </w:p>
        </w:tc>
        <w:tc>
          <w:tcPr>
            <w:tcW w:w="2691" w:type="dxa"/>
            <w:shd w:val="clear" w:color="auto" w:fill="FFFFFF" w:themeFill="background1"/>
            <w:vAlign w:val="center"/>
          </w:tcPr>
          <w:p w14:paraId="663E39EF">
            <w:pPr>
              <w:spacing w:line="360" w:lineRule="exact"/>
              <w:jc w:val="center"/>
              <w:rPr>
                <w:rFonts w:ascii="宋体" w:hAnsi="宋体"/>
                <w:b/>
                <w:sz w:val="21"/>
                <w:szCs w:val="32"/>
              </w:rPr>
            </w:pPr>
            <w:r>
              <w:rPr>
                <w:rFonts w:hint="eastAsia" w:ascii="宋体" w:hAnsi="宋体"/>
                <w:b/>
                <w:sz w:val="21"/>
                <w:szCs w:val="32"/>
              </w:rPr>
              <w:t>专业名称</w:t>
            </w:r>
          </w:p>
        </w:tc>
        <w:tc>
          <w:tcPr>
            <w:tcW w:w="1087" w:type="dxa"/>
            <w:shd w:val="clear" w:color="auto" w:fill="FFFFFF" w:themeFill="background1"/>
            <w:vAlign w:val="center"/>
          </w:tcPr>
          <w:p w14:paraId="24B935C3">
            <w:pPr>
              <w:jc w:val="center"/>
              <w:rPr>
                <w:rFonts w:ascii="宋体" w:hAnsi="宋体"/>
                <w:b/>
                <w:sz w:val="21"/>
                <w:szCs w:val="32"/>
              </w:rPr>
            </w:pPr>
            <w:r>
              <w:rPr>
                <w:rFonts w:hint="eastAsia" w:ascii="宋体" w:hAnsi="宋体"/>
                <w:b/>
                <w:sz w:val="21"/>
                <w:szCs w:val="32"/>
              </w:rPr>
              <w:t>招生计划</w:t>
            </w:r>
          </w:p>
        </w:tc>
        <w:tc>
          <w:tcPr>
            <w:tcW w:w="1087" w:type="dxa"/>
            <w:shd w:val="clear" w:color="auto" w:fill="FFFFFF" w:themeFill="background1"/>
            <w:vAlign w:val="center"/>
          </w:tcPr>
          <w:p w14:paraId="0907E9EB">
            <w:pPr>
              <w:jc w:val="center"/>
              <w:rPr>
                <w:rFonts w:ascii="宋体" w:hAnsi="宋体"/>
                <w:b/>
                <w:sz w:val="21"/>
                <w:szCs w:val="32"/>
              </w:rPr>
            </w:pPr>
            <w:r>
              <w:rPr>
                <w:rFonts w:ascii="宋体" w:hAnsi="宋体"/>
                <w:b/>
                <w:sz w:val="21"/>
                <w:szCs w:val="32"/>
              </w:rPr>
              <w:t>上线人数</w:t>
            </w:r>
          </w:p>
        </w:tc>
        <w:tc>
          <w:tcPr>
            <w:tcW w:w="1086" w:type="dxa"/>
            <w:shd w:val="clear" w:color="auto" w:fill="FFFFFF" w:themeFill="background1"/>
            <w:vAlign w:val="center"/>
          </w:tcPr>
          <w:p w14:paraId="619DAB56">
            <w:pPr>
              <w:jc w:val="center"/>
              <w:rPr>
                <w:rFonts w:ascii="宋体" w:hAnsi="宋体"/>
                <w:b/>
                <w:sz w:val="21"/>
                <w:szCs w:val="32"/>
              </w:rPr>
            </w:pPr>
            <w:r>
              <w:rPr>
                <w:rFonts w:ascii="宋体" w:hAnsi="宋体"/>
                <w:b/>
                <w:sz w:val="21"/>
                <w:szCs w:val="32"/>
              </w:rPr>
              <w:t>录取人数</w:t>
            </w:r>
          </w:p>
        </w:tc>
        <w:tc>
          <w:tcPr>
            <w:tcW w:w="850" w:type="dxa"/>
            <w:shd w:val="clear" w:color="auto" w:fill="FFFFFF" w:themeFill="background1"/>
            <w:vAlign w:val="center"/>
          </w:tcPr>
          <w:p w14:paraId="59E18411">
            <w:pPr>
              <w:jc w:val="center"/>
              <w:rPr>
                <w:rFonts w:ascii="宋体" w:hAnsi="宋体"/>
                <w:b/>
                <w:sz w:val="21"/>
                <w:szCs w:val="32"/>
              </w:rPr>
            </w:pPr>
            <w:r>
              <w:rPr>
                <w:rFonts w:hint="eastAsia" w:ascii="宋体" w:hAnsi="宋体"/>
                <w:b/>
                <w:sz w:val="21"/>
                <w:szCs w:val="32"/>
              </w:rPr>
              <w:t>学位</w:t>
            </w:r>
          </w:p>
          <w:p w14:paraId="36F9EE4A">
            <w:pPr>
              <w:jc w:val="center"/>
              <w:rPr>
                <w:rFonts w:ascii="宋体" w:hAnsi="宋体"/>
                <w:b/>
                <w:sz w:val="21"/>
                <w:szCs w:val="32"/>
              </w:rPr>
            </w:pPr>
            <w:r>
              <w:rPr>
                <w:rFonts w:hint="eastAsia" w:ascii="宋体" w:hAnsi="宋体"/>
                <w:b/>
                <w:sz w:val="21"/>
                <w:szCs w:val="32"/>
              </w:rPr>
              <w:t>类型</w:t>
            </w:r>
          </w:p>
        </w:tc>
        <w:tc>
          <w:tcPr>
            <w:tcW w:w="904" w:type="dxa"/>
            <w:shd w:val="clear" w:color="auto" w:fill="FFFFFF" w:themeFill="background1"/>
            <w:vAlign w:val="center"/>
          </w:tcPr>
          <w:p w14:paraId="2E69D2FE">
            <w:pPr>
              <w:spacing w:line="360" w:lineRule="exact"/>
              <w:jc w:val="center"/>
              <w:rPr>
                <w:rFonts w:ascii="宋体" w:hAnsi="宋体"/>
                <w:b/>
                <w:sz w:val="21"/>
                <w:szCs w:val="32"/>
              </w:rPr>
            </w:pPr>
            <w:r>
              <w:rPr>
                <w:rFonts w:hint="eastAsia" w:ascii="宋体" w:hAnsi="宋体"/>
                <w:b/>
                <w:sz w:val="21"/>
                <w:szCs w:val="32"/>
              </w:rPr>
              <w:t>学习</w:t>
            </w:r>
          </w:p>
          <w:p w14:paraId="6A28C576">
            <w:pPr>
              <w:spacing w:line="360" w:lineRule="exact"/>
              <w:jc w:val="center"/>
              <w:rPr>
                <w:rFonts w:ascii="宋体" w:hAnsi="宋体"/>
                <w:b/>
                <w:sz w:val="21"/>
                <w:szCs w:val="32"/>
              </w:rPr>
            </w:pPr>
            <w:r>
              <w:rPr>
                <w:rFonts w:hint="eastAsia" w:ascii="宋体" w:hAnsi="宋体"/>
                <w:b/>
                <w:sz w:val="21"/>
                <w:szCs w:val="32"/>
              </w:rPr>
              <w:t>方式</w:t>
            </w:r>
          </w:p>
        </w:tc>
      </w:tr>
      <w:tr w14:paraId="2797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Merge w:val="restart"/>
            <w:shd w:val="clear" w:color="auto" w:fill="auto"/>
            <w:vAlign w:val="center"/>
          </w:tcPr>
          <w:p w14:paraId="38660180">
            <w:pPr>
              <w:jc w:val="center"/>
              <w:rPr>
                <w:rFonts w:ascii="宋体" w:hAnsi="宋体"/>
                <w:sz w:val="21"/>
                <w:szCs w:val="32"/>
              </w:rPr>
            </w:pPr>
            <w:r>
              <w:rPr>
                <w:rFonts w:hint="eastAsia" w:ascii="宋体" w:hAnsi="宋体"/>
                <w:w w:val="90"/>
                <w:sz w:val="22"/>
                <w:szCs w:val="32"/>
              </w:rPr>
              <w:t>083300</w:t>
            </w:r>
          </w:p>
        </w:tc>
        <w:tc>
          <w:tcPr>
            <w:tcW w:w="2691" w:type="dxa"/>
            <w:shd w:val="clear" w:color="auto" w:fill="auto"/>
            <w:vAlign w:val="center"/>
          </w:tcPr>
          <w:p w14:paraId="21A894CF">
            <w:pPr>
              <w:jc w:val="center"/>
              <w:rPr>
                <w:rFonts w:ascii="宋体" w:hAnsi="宋体"/>
                <w:w w:val="90"/>
                <w:sz w:val="22"/>
              </w:rPr>
            </w:pPr>
            <w:r>
              <w:rPr>
                <w:rFonts w:hint="eastAsia" w:ascii="宋体" w:hAnsi="宋体"/>
                <w:w w:val="90"/>
                <w:sz w:val="22"/>
                <w:szCs w:val="32"/>
              </w:rPr>
              <w:t>城乡规划学</w:t>
            </w:r>
            <w:r>
              <w:rPr>
                <w:rFonts w:ascii="宋体" w:hAnsi="宋体"/>
                <w:w w:val="90"/>
                <w:sz w:val="22"/>
                <w:szCs w:val="32"/>
              </w:rPr>
              <w:t>（城乡规划</w:t>
            </w:r>
            <w:r>
              <w:rPr>
                <w:rFonts w:hint="eastAsia" w:ascii="宋体" w:hAnsi="宋体"/>
                <w:w w:val="90"/>
                <w:sz w:val="22"/>
                <w:szCs w:val="32"/>
              </w:rPr>
              <w:t>方向）</w:t>
            </w:r>
          </w:p>
        </w:tc>
        <w:tc>
          <w:tcPr>
            <w:tcW w:w="1087" w:type="dxa"/>
            <w:vAlign w:val="center"/>
          </w:tcPr>
          <w:p w14:paraId="76B61DFD">
            <w:pPr>
              <w:jc w:val="center"/>
              <w:rPr>
                <w:rFonts w:ascii="宋体" w:hAnsi="宋体"/>
                <w:sz w:val="21"/>
                <w:szCs w:val="32"/>
              </w:rPr>
            </w:pPr>
            <w:r>
              <w:rPr>
                <w:rFonts w:hint="eastAsia" w:ascii="宋体" w:hAnsi="宋体"/>
                <w:sz w:val="21"/>
                <w:szCs w:val="32"/>
              </w:rPr>
              <w:t>11</w:t>
            </w:r>
          </w:p>
        </w:tc>
        <w:tc>
          <w:tcPr>
            <w:tcW w:w="1087" w:type="dxa"/>
            <w:vMerge w:val="restart"/>
            <w:vAlign w:val="center"/>
          </w:tcPr>
          <w:p w14:paraId="61ED6488">
            <w:pPr>
              <w:jc w:val="center"/>
              <w:rPr>
                <w:rFonts w:ascii="宋体" w:hAnsi="宋体"/>
                <w:sz w:val="21"/>
                <w:szCs w:val="32"/>
              </w:rPr>
            </w:pPr>
            <w:r>
              <w:rPr>
                <w:rFonts w:hint="eastAsia" w:ascii="宋体" w:hAnsi="宋体"/>
                <w:sz w:val="21"/>
                <w:szCs w:val="32"/>
              </w:rPr>
              <w:t>1</w:t>
            </w:r>
            <w:r>
              <w:rPr>
                <w:rFonts w:ascii="宋体" w:hAnsi="宋体"/>
                <w:sz w:val="21"/>
                <w:szCs w:val="32"/>
              </w:rPr>
              <w:t>4</w:t>
            </w:r>
          </w:p>
        </w:tc>
        <w:tc>
          <w:tcPr>
            <w:tcW w:w="1086" w:type="dxa"/>
            <w:shd w:val="clear" w:color="auto" w:fill="auto"/>
            <w:vAlign w:val="center"/>
          </w:tcPr>
          <w:p w14:paraId="3C0A4513">
            <w:pPr>
              <w:jc w:val="center"/>
              <w:rPr>
                <w:rFonts w:ascii="宋体" w:hAnsi="宋体"/>
                <w:sz w:val="21"/>
                <w:szCs w:val="32"/>
              </w:rPr>
            </w:pPr>
            <w:r>
              <w:rPr>
                <w:rFonts w:hint="eastAsia" w:ascii="宋体" w:hAnsi="宋体"/>
                <w:sz w:val="21"/>
                <w:szCs w:val="32"/>
              </w:rPr>
              <w:t>11</w:t>
            </w:r>
          </w:p>
        </w:tc>
        <w:tc>
          <w:tcPr>
            <w:tcW w:w="850" w:type="dxa"/>
            <w:shd w:val="clear" w:color="auto" w:fill="auto"/>
            <w:vAlign w:val="center"/>
          </w:tcPr>
          <w:p w14:paraId="1DB22C69">
            <w:pPr>
              <w:jc w:val="center"/>
              <w:rPr>
                <w:rFonts w:ascii="宋体" w:hAnsi="宋体"/>
                <w:sz w:val="21"/>
                <w:szCs w:val="32"/>
              </w:rPr>
            </w:pPr>
            <w:r>
              <w:rPr>
                <w:rFonts w:hint="eastAsia" w:ascii="宋体" w:hAnsi="宋体"/>
                <w:sz w:val="21"/>
                <w:szCs w:val="32"/>
              </w:rPr>
              <w:t>学术型</w:t>
            </w:r>
          </w:p>
        </w:tc>
        <w:tc>
          <w:tcPr>
            <w:tcW w:w="904" w:type="dxa"/>
            <w:shd w:val="clear" w:color="auto" w:fill="auto"/>
            <w:vAlign w:val="center"/>
          </w:tcPr>
          <w:p w14:paraId="19501C2F">
            <w:pPr>
              <w:jc w:val="center"/>
              <w:rPr>
                <w:rFonts w:ascii="宋体" w:hAnsi="宋体"/>
                <w:sz w:val="21"/>
                <w:szCs w:val="32"/>
              </w:rPr>
            </w:pPr>
            <w:r>
              <w:rPr>
                <w:rFonts w:hint="eastAsia" w:ascii="宋体" w:hAnsi="宋体"/>
                <w:sz w:val="21"/>
                <w:szCs w:val="32"/>
              </w:rPr>
              <w:t>全日制</w:t>
            </w:r>
          </w:p>
        </w:tc>
      </w:tr>
      <w:tr w14:paraId="241F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vAlign w:val="center"/>
          </w:tcPr>
          <w:p w14:paraId="048CDDE2">
            <w:pPr>
              <w:jc w:val="center"/>
              <w:rPr>
                <w:rFonts w:ascii="宋体" w:hAnsi="宋体"/>
                <w:sz w:val="21"/>
                <w:szCs w:val="32"/>
              </w:rPr>
            </w:pPr>
          </w:p>
        </w:tc>
        <w:tc>
          <w:tcPr>
            <w:tcW w:w="2691" w:type="dxa"/>
            <w:shd w:val="clear" w:color="auto" w:fill="auto"/>
            <w:vAlign w:val="center"/>
          </w:tcPr>
          <w:p w14:paraId="4D14AE82">
            <w:pPr>
              <w:jc w:val="center"/>
              <w:rPr>
                <w:rFonts w:ascii="宋体" w:hAnsi="宋体"/>
                <w:sz w:val="22"/>
                <w:szCs w:val="32"/>
              </w:rPr>
            </w:pPr>
            <w:r>
              <w:rPr>
                <w:rFonts w:hint="eastAsia" w:ascii="宋体" w:hAnsi="宋体"/>
                <w:w w:val="90"/>
                <w:sz w:val="22"/>
                <w:szCs w:val="32"/>
              </w:rPr>
              <w:t>城乡规划学</w:t>
            </w:r>
            <w:r>
              <w:rPr>
                <w:rFonts w:ascii="宋体" w:hAnsi="宋体"/>
                <w:w w:val="90"/>
                <w:sz w:val="22"/>
                <w:szCs w:val="32"/>
              </w:rPr>
              <w:t>（</w:t>
            </w:r>
            <w:r>
              <w:rPr>
                <w:rFonts w:hint="eastAsia" w:ascii="宋体" w:hAnsi="宋体"/>
                <w:w w:val="90"/>
                <w:sz w:val="22"/>
                <w:szCs w:val="32"/>
              </w:rPr>
              <w:t>区域规划与空间发展战略方向）</w:t>
            </w:r>
          </w:p>
        </w:tc>
        <w:tc>
          <w:tcPr>
            <w:tcW w:w="1087" w:type="dxa"/>
            <w:vAlign w:val="center"/>
          </w:tcPr>
          <w:p w14:paraId="00FC37DD">
            <w:pPr>
              <w:jc w:val="center"/>
              <w:rPr>
                <w:rFonts w:ascii="宋体" w:hAnsi="宋体"/>
                <w:sz w:val="21"/>
                <w:szCs w:val="32"/>
              </w:rPr>
            </w:pPr>
            <w:r>
              <w:rPr>
                <w:rFonts w:hint="eastAsia" w:ascii="宋体" w:hAnsi="宋体"/>
                <w:sz w:val="21"/>
                <w:szCs w:val="32"/>
              </w:rPr>
              <w:t>2</w:t>
            </w:r>
          </w:p>
        </w:tc>
        <w:tc>
          <w:tcPr>
            <w:tcW w:w="1087" w:type="dxa"/>
            <w:vMerge w:val="continue"/>
            <w:vAlign w:val="center"/>
          </w:tcPr>
          <w:p w14:paraId="2F655929">
            <w:pPr>
              <w:jc w:val="center"/>
              <w:rPr>
                <w:rFonts w:ascii="宋体" w:hAnsi="宋体"/>
                <w:sz w:val="21"/>
                <w:szCs w:val="32"/>
              </w:rPr>
            </w:pPr>
          </w:p>
        </w:tc>
        <w:tc>
          <w:tcPr>
            <w:tcW w:w="1086" w:type="dxa"/>
            <w:shd w:val="clear" w:color="auto" w:fill="auto"/>
            <w:vAlign w:val="center"/>
          </w:tcPr>
          <w:p w14:paraId="15E38057">
            <w:pPr>
              <w:jc w:val="center"/>
              <w:rPr>
                <w:rFonts w:ascii="宋体" w:hAnsi="宋体"/>
                <w:sz w:val="21"/>
                <w:szCs w:val="32"/>
              </w:rPr>
            </w:pPr>
            <w:r>
              <w:rPr>
                <w:rFonts w:hint="eastAsia" w:ascii="宋体" w:hAnsi="宋体"/>
                <w:sz w:val="21"/>
                <w:szCs w:val="32"/>
              </w:rPr>
              <w:t>2</w:t>
            </w:r>
          </w:p>
        </w:tc>
        <w:tc>
          <w:tcPr>
            <w:tcW w:w="850" w:type="dxa"/>
            <w:shd w:val="clear" w:color="auto" w:fill="auto"/>
            <w:vAlign w:val="center"/>
          </w:tcPr>
          <w:p w14:paraId="6A067C77">
            <w:pPr>
              <w:jc w:val="center"/>
              <w:rPr>
                <w:rFonts w:ascii="宋体" w:hAnsi="宋体"/>
                <w:sz w:val="21"/>
                <w:szCs w:val="32"/>
              </w:rPr>
            </w:pPr>
            <w:r>
              <w:rPr>
                <w:rFonts w:hint="eastAsia" w:ascii="宋体" w:hAnsi="宋体"/>
                <w:sz w:val="21"/>
                <w:szCs w:val="32"/>
              </w:rPr>
              <w:t>学术型</w:t>
            </w:r>
          </w:p>
        </w:tc>
        <w:tc>
          <w:tcPr>
            <w:tcW w:w="904" w:type="dxa"/>
            <w:shd w:val="clear" w:color="auto" w:fill="auto"/>
            <w:vAlign w:val="center"/>
          </w:tcPr>
          <w:p w14:paraId="6679E822">
            <w:pPr>
              <w:jc w:val="center"/>
              <w:rPr>
                <w:rFonts w:ascii="宋体" w:hAnsi="宋体"/>
                <w:sz w:val="21"/>
                <w:szCs w:val="32"/>
              </w:rPr>
            </w:pPr>
            <w:r>
              <w:rPr>
                <w:rFonts w:hint="eastAsia" w:ascii="宋体" w:hAnsi="宋体"/>
                <w:sz w:val="21"/>
                <w:szCs w:val="32"/>
              </w:rPr>
              <w:t>全日制</w:t>
            </w:r>
          </w:p>
        </w:tc>
      </w:tr>
      <w:tr w14:paraId="2F5F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gridSpan w:val="2"/>
            <w:vAlign w:val="center"/>
          </w:tcPr>
          <w:p w14:paraId="71F4DC2D">
            <w:pPr>
              <w:jc w:val="center"/>
              <w:rPr>
                <w:rFonts w:ascii="宋体" w:hAnsi="宋体"/>
                <w:b/>
                <w:sz w:val="21"/>
                <w:szCs w:val="32"/>
              </w:rPr>
            </w:pPr>
            <w:r>
              <w:rPr>
                <w:rFonts w:hint="eastAsia" w:ascii="宋体" w:hAnsi="宋体"/>
                <w:b/>
                <w:sz w:val="21"/>
                <w:szCs w:val="32"/>
              </w:rPr>
              <w:t>合计</w:t>
            </w:r>
          </w:p>
        </w:tc>
        <w:tc>
          <w:tcPr>
            <w:tcW w:w="1087" w:type="dxa"/>
            <w:vAlign w:val="center"/>
          </w:tcPr>
          <w:p w14:paraId="10C9CE7C">
            <w:pPr>
              <w:jc w:val="center"/>
              <w:rPr>
                <w:rFonts w:ascii="宋体" w:hAnsi="宋体"/>
                <w:sz w:val="21"/>
                <w:szCs w:val="32"/>
              </w:rPr>
            </w:pPr>
            <w:r>
              <w:rPr>
                <w:rFonts w:hint="eastAsia" w:ascii="宋体" w:hAnsi="宋体"/>
                <w:sz w:val="21"/>
                <w:szCs w:val="32"/>
              </w:rPr>
              <w:t>13</w:t>
            </w:r>
          </w:p>
        </w:tc>
        <w:tc>
          <w:tcPr>
            <w:tcW w:w="1087" w:type="dxa"/>
          </w:tcPr>
          <w:p w14:paraId="3F8E35CE">
            <w:pPr>
              <w:jc w:val="center"/>
              <w:rPr>
                <w:rFonts w:ascii="宋体" w:hAnsi="宋体"/>
                <w:sz w:val="21"/>
                <w:szCs w:val="32"/>
              </w:rPr>
            </w:pPr>
            <w:r>
              <w:rPr>
                <w:rFonts w:ascii="宋体" w:hAnsi="宋体"/>
                <w:sz w:val="21"/>
                <w:szCs w:val="32"/>
              </w:rPr>
              <w:t>14</w:t>
            </w:r>
          </w:p>
        </w:tc>
        <w:tc>
          <w:tcPr>
            <w:tcW w:w="1086" w:type="dxa"/>
            <w:vAlign w:val="center"/>
          </w:tcPr>
          <w:p w14:paraId="7583AD48">
            <w:pPr>
              <w:jc w:val="center"/>
              <w:rPr>
                <w:rFonts w:ascii="宋体" w:hAnsi="宋体"/>
                <w:sz w:val="21"/>
                <w:szCs w:val="32"/>
              </w:rPr>
            </w:pPr>
            <w:r>
              <w:rPr>
                <w:rFonts w:hint="eastAsia" w:ascii="宋体" w:hAnsi="宋体"/>
                <w:sz w:val="21"/>
                <w:szCs w:val="32"/>
              </w:rPr>
              <w:t>13</w:t>
            </w:r>
          </w:p>
        </w:tc>
        <w:tc>
          <w:tcPr>
            <w:tcW w:w="1754" w:type="dxa"/>
            <w:gridSpan w:val="2"/>
            <w:vAlign w:val="center"/>
          </w:tcPr>
          <w:p w14:paraId="3E088EF3">
            <w:pPr>
              <w:jc w:val="center"/>
              <w:rPr>
                <w:rFonts w:ascii="宋体" w:hAnsi="宋体" w:cs="Times New Roman"/>
                <w:b/>
                <w:kern w:val="0"/>
                <w:sz w:val="21"/>
                <w:szCs w:val="32"/>
              </w:rPr>
            </w:pPr>
            <w:r>
              <w:rPr>
                <w:rFonts w:hint="eastAsia" w:ascii="宋体" w:hAnsi="宋体"/>
                <w:b/>
                <w:sz w:val="21"/>
                <w:szCs w:val="32"/>
              </w:rPr>
              <w:t>-</w:t>
            </w:r>
          </w:p>
        </w:tc>
      </w:tr>
    </w:tbl>
    <w:p w14:paraId="7778F297">
      <w:pPr>
        <w:pStyle w:val="2"/>
      </w:pPr>
      <w:r>
        <w:rPr>
          <w:rFonts w:hint="eastAsia"/>
        </w:rPr>
        <w:t>3</w:t>
      </w:r>
      <w:r>
        <w:t>.2思政教育</w:t>
      </w:r>
    </w:p>
    <w:p w14:paraId="268C06C9">
      <w:pPr>
        <w:rPr>
          <w:rStyle w:val="18"/>
          <w:rFonts w:ascii="宋体" w:hAnsi="宋体" w:eastAsia="宋体" w:cs="宋体"/>
          <w:b w:val="0"/>
          <w:sz w:val="28"/>
          <w:szCs w:val="28"/>
        </w:rPr>
      </w:pPr>
      <w:bookmarkStart w:id="1" w:name="_Toc28238"/>
      <w:r>
        <w:rPr>
          <w:rStyle w:val="18"/>
          <w:rFonts w:hint="eastAsia" w:ascii="宋体" w:hAnsi="宋体" w:eastAsia="宋体" w:cs="宋体"/>
          <w:b w:val="0"/>
          <w:sz w:val="28"/>
          <w:szCs w:val="28"/>
        </w:rPr>
        <w:t>（1）教师队伍建设</w:t>
      </w:r>
      <w:bookmarkEnd w:id="1"/>
    </w:p>
    <w:p w14:paraId="6EA96A35">
      <w:pPr>
        <w:widowControl/>
        <w:spacing w:line="360" w:lineRule="auto"/>
        <w:ind w:firstLine="560" w:firstLineChars="200"/>
        <w:rPr>
          <w:rFonts w:ascii="宋体" w:hAnsi="宋体" w:cs="宋体"/>
        </w:rPr>
      </w:pPr>
      <w:r>
        <w:rPr>
          <w:rFonts w:hint="eastAsia" w:ascii="宋体" w:hAnsi="宋体" w:cs="宋体"/>
        </w:rPr>
        <w:t>本学位点始终坚持以习近平新时代中国特色社会主义思想为指导，全面贯彻落实全国教育大会和全国高校思想政治工作会议精神，贯彻“发展城市科学，培育建设人才”的办学宗旨，积极落实“立德树人”根本任务，深入实施“十大育人”</w:t>
      </w:r>
      <w:r>
        <w:rPr>
          <w:rFonts w:hint="eastAsia" w:ascii="宋体" w:hAnsi="宋体" w:cs="宋体"/>
          <w:lang w:val="en-US" w:eastAsia="zh-CN"/>
        </w:rPr>
        <w:t>体系</w:t>
      </w:r>
      <w:r>
        <w:rPr>
          <w:rFonts w:hint="eastAsia" w:ascii="宋体" w:hAnsi="宋体" w:cs="宋体"/>
        </w:rPr>
        <w:t>综合改革方案。</w:t>
      </w:r>
    </w:p>
    <w:p w14:paraId="7A53FC04">
      <w:pPr>
        <w:widowControl/>
        <w:spacing w:line="360" w:lineRule="auto"/>
        <w:ind w:firstLine="560" w:firstLineChars="200"/>
        <w:rPr>
          <w:rFonts w:ascii="宋体" w:hAnsi="宋体" w:cs="宋体"/>
        </w:rPr>
      </w:pPr>
      <w:r>
        <w:rPr>
          <w:rFonts w:hint="eastAsia" w:ascii="宋体" w:hAnsi="宋体" w:cs="宋体"/>
        </w:rPr>
        <w:t>在思政队伍建设工作中，因</w:t>
      </w:r>
      <w:r>
        <w:rPr>
          <w:rFonts w:hint="eastAsia" w:ascii="宋体" w:hAnsi="宋体" w:cs="宋体"/>
          <w:lang w:val="en-US" w:eastAsia="zh-CN"/>
        </w:rPr>
        <w:t>时</w:t>
      </w:r>
      <w:r>
        <w:rPr>
          <w:rFonts w:hint="eastAsia" w:ascii="宋体" w:hAnsi="宋体" w:cs="宋体"/>
        </w:rPr>
        <w:t>施策，构建“知识传授+能力培养+价值塑造”课程思政育人体系。传承“重德重能、善学善建”校训精神，依据学科特色和学科团队优势，充分挖掘“一带一路”倡议、乡村振兴战略、京津冀协同发展、雄安新区建设、天津社会主义现代化大都市建设等与城乡规划密切相关的课程思政元素，建设本学位点课程思政资源库。成立由学科领军人才、教学名师、创新人才、著名企业家、优秀校友、援疆干部组成的思政育人团队，把专业知识传授、综合能力培养及信念价值塑造紧密融合，与马克思主义学院“结对子”，持续推进思政课程与学科课程思政同向同行，构建“知识传授、能力培养、价值塑造”城建特色的课程思政育人体系。</w:t>
      </w:r>
    </w:p>
    <w:p w14:paraId="1AA6EA65">
      <w:pPr>
        <w:widowControl/>
        <w:spacing w:line="360" w:lineRule="auto"/>
        <w:ind w:firstLine="560" w:firstLineChars="200"/>
        <w:rPr>
          <w:rFonts w:ascii="宋体" w:hAnsi="宋体" w:cs="宋体"/>
        </w:rPr>
      </w:pPr>
      <w:r>
        <w:rPr>
          <w:rFonts w:ascii="宋体" w:hAnsi="宋体" w:cs="宋体"/>
        </w:rPr>
        <w:t>同时，配备兼职研究生辅导员，专门负责研究生日常管理及思想政治教育，加强研究生思想政治教育的抓手。通过召开学生工作专</w:t>
      </w:r>
      <w:r>
        <w:rPr>
          <w:rFonts w:hint="eastAsia" w:ascii="宋体" w:hAnsi="宋体" w:cs="宋体"/>
        </w:rPr>
        <w:t>题研讨会，开设思想政治教育课题研究等，提升研究生辅导员的综合素质及专业化、职业化水平。</w:t>
      </w:r>
    </w:p>
    <w:p w14:paraId="1759C8C7">
      <w:pPr>
        <w:rPr>
          <w:rStyle w:val="18"/>
          <w:rFonts w:ascii="宋体" w:hAnsi="宋体" w:eastAsia="宋体" w:cs="宋体"/>
          <w:b w:val="0"/>
          <w:sz w:val="28"/>
          <w:szCs w:val="28"/>
        </w:rPr>
      </w:pPr>
      <w:bookmarkStart w:id="2" w:name="_Toc6101"/>
      <w:r>
        <w:rPr>
          <w:rStyle w:val="18"/>
          <w:rFonts w:hint="eastAsia" w:ascii="宋体" w:hAnsi="宋体" w:eastAsia="宋体" w:cs="宋体"/>
          <w:b w:val="0"/>
          <w:sz w:val="28"/>
          <w:szCs w:val="28"/>
        </w:rPr>
        <w:t>（2）</w:t>
      </w:r>
      <w:bookmarkEnd w:id="2"/>
      <w:r>
        <w:rPr>
          <w:rStyle w:val="18"/>
          <w:rFonts w:hint="eastAsia" w:ascii="宋体" w:hAnsi="宋体" w:eastAsia="宋体" w:cs="宋体"/>
          <w:b w:val="0"/>
          <w:sz w:val="28"/>
          <w:szCs w:val="28"/>
        </w:rPr>
        <w:t>课程思政</w:t>
      </w:r>
    </w:p>
    <w:p w14:paraId="7D4366E4">
      <w:pPr>
        <w:widowControl/>
        <w:spacing w:line="360" w:lineRule="auto"/>
        <w:ind w:firstLine="560" w:firstLineChars="200"/>
        <w:rPr>
          <w:rFonts w:ascii="宋体" w:hAnsi="宋体" w:cs="宋体"/>
        </w:rPr>
      </w:pPr>
      <w:r>
        <w:rPr>
          <w:rFonts w:hint="eastAsia" w:ascii="宋体" w:hAnsi="宋体" w:cs="宋体"/>
        </w:rPr>
        <w:t>精准推进思政教育，在服务新型城镇化和城市现代化进程中贡献学科力量。</w:t>
      </w:r>
      <w:r>
        <w:rPr>
          <w:rFonts w:ascii="宋体" w:hAnsi="宋体" w:cs="宋体"/>
        </w:rPr>
        <w:t>2022年获批校级课程思政示范课项目2项。实现思想政治教育对专业课程教学全面覆盖，使思政教育切实入脑入心。</w:t>
      </w:r>
      <w:r>
        <w:rPr>
          <w:rFonts w:hint="eastAsia" w:ascii="宋体" w:hAnsi="宋体" w:cs="宋体"/>
        </w:rPr>
        <w:t>思政教学因时而进，打造“知行耦合”嵌入式的课内外协同实践育人模式。课内讲授城乡规划专业理论知识，课外组织学生对天津市300余处红色历史遗址进行调研与测绘，参加天津意奥风情区、五大道等天津市历史风貌建筑保护、海河综合开发“子牙渔湾”区域规划和设计工作等，通过情景体验式教学，使学生更加深刻地理解天津近代历史发展过程，深入了解党领导天津人民艰苦奋斗的革命事迹，激励师生把爱国之情、报国之志融入祖国改革发展伟大事业中和天津市特色学科群、重点学科的建设之中。</w:t>
      </w:r>
    </w:p>
    <w:p w14:paraId="0D5C2F28">
      <w:pPr>
        <w:pStyle w:val="2"/>
      </w:pPr>
      <w:r>
        <w:rPr>
          <w:rFonts w:hint="eastAsia"/>
        </w:rPr>
        <w:t>3</w:t>
      </w:r>
      <w:r>
        <w:t>.3课程教学</w:t>
      </w:r>
    </w:p>
    <w:p w14:paraId="184937A1">
      <w:pPr>
        <w:spacing w:line="360" w:lineRule="auto"/>
        <w:ind w:firstLine="560" w:firstLineChars="200"/>
        <w:rPr>
          <w:rFonts w:ascii="宋体" w:hAnsi="宋体" w:cs="Times New Roman"/>
          <w:szCs w:val="28"/>
        </w:rPr>
      </w:pPr>
      <w:r>
        <w:rPr>
          <w:rFonts w:ascii="宋体" w:hAnsi="宋体" w:cs="Times New Roman"/>
          <w:szCs w:val="28"/>
        </w:rPr>
        <w:t>城乡规划学硕士研究生课程讲授由教授、副教授以及研究成果突出的具有博士学位的讲师承担</w:t>
      </w:r>
      <w:r>
        <w:rPr>
          <w:rFonts w:hint="eastAsia" w:ascii="宋体" w:hAnsi="宋体"/>
          <w:szCs w:val="28"/>
        </w:rPr>
        <w:t>（表3-</w:t>
      </w:r>
      <w:r>
        <w:rPr>
          <w:rFonts w:ascii="宋体" w:hAnsi="宋体"/>
          <w:szCs w:val="28"/>
        </w:rPr>
        <w:t>2</w:t>
      </w:r>
      <w:r>
        <w:rPr>
          <w:rFonts w:hint="eastAsia" w:ascii="宋体" w:hAnsi="宋体"/>
          <w:szCs w:val="28"/>
        </w:rPr>
        <w:t>）</w:t>
      </w:r>
      <w:r>
        <w:rPr>
          <w:rFonts w:ascii="宋体" w:hAnsi="宋体" w:cs="Times New Roman"/>
          <w:szCs w:val="28"/>
        </w:rPr>
        <w:t>。在</w:t>
      </w:r>
      <w:r>
        <w:rPr>
          <w:rFonts w:hint="eastAsia" w:ascii="宋体" w:hAnsi="宋体" w:cs="Times New Roman"/>
          <w:szCs w:val="28"/>
        </w:rPr>
        <w:t>规划设计（</w:t>
      </w:r>
      <w:r>
        <w:rPr>
          <w:rFonts w:ascii="宋体" w:hAnsi="宋体" w:cs="Times New Roman"/>
          <w:szCs w:val="28"/>
        </w:rPr>
        <w:t>1）、规划设计（2）、城市空间设计、城市空间数字技术应用以及实践教学环节中还邀请校外具有较高学术水平的教师、执业规划师和规划管理人员来学院授课。</w:t>
      </w:r>
    </w:p>
    <w:p w14:paraId="28414B65">
      <w:pPr>
        <w:spacing w:before="156" w:beforeLines="50" w:line="360" w:lineRule="auto"/>
        <w:jc w:val="center"/>
        <w:rPr>
          <w:rFonts w:ascii="Times New Roman" w:hAnsi="宋体" w:cs="Times New Roman"/>
          <w:bCs/>
          <w:sz w:val="21"/>
          <w:szCs w:val="21"/>
        </w:rPr>
      </w:pPr>
      <w:r>
        <w:rPr>
          <w:rFonts w:ascii="Times New Roman" w:hAnsi="宋体" w:cs="Times New Roman"/>
          <w:bCs/>
          <w:sz w:val="21"/>
          <w:szCs w:val="21"/>
        </w:rPr>
        <w:t>表3</w:t>
      </w:r>
      <w:r>
        <w:rPr>
          <w:rFonts w:hint="eastAsia" w:ascii="Times New Roman" w:hAnsi="宋体" w:cs="Times New Roman"/>
          <w:bCs/>
          <w:sz w:val="21"/>
          <w:szCs w:val="21"/>
        </w:rPr>
        <w:t>-</w:t>
      </w:r>
      <w:r>
        <w:rPr>
          <w:rFonts w:ascii="Times New Roman" w:hAnsi="宋体" w:cs="Times New Roman"/>
          <w:bCs/>
          <w:sz w:val="21"/>
          <w:szCs w:val="21"/>
        </w:rPr>
        <w:t>2 城乡规划学专业基础课程任课教师简况表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3520"/>
        <w:gridCol w:w="810"/>
        <w:gridCol w:w="810"/>
        <w:gridCol w:w="2709"/>
      </w:tblGrid>
      <w:tr w14:paraId="3012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FFFFFF"/>
            <w:vAlign w:val="center"/>
          </w:tcPr>
          <w:p w14:paraId="4F927CE4">
            <w:pPr>
              <w:jc w:val="center"/>
              <w:rPr>
                <w:rFonts w:ascii="宋体" w:hAnsi="宋体" w:cs="仿宋_GB2312"/>
                <w:sz w:val="21"/>
                <w:szCs w:val="21"/>
              </w:rPr>
            </w:pPr>
            <w:r>
              <w:rPr>
                <w:rFonts w:hint="eastAsia" w:ascii="宋体" w:hAnsi="宋体" w:cs="仿宋_GB2312"/>
                <w:sz w:val="21"/>
                <w:szCs w:val="21"/>
              </w:rPr>
              <w:t>序</w:t>
            </w:r>
            <w:r>
              <w:rPr>
                <w:rFonts w:ascii="宋体" w:hAnsi="宋体" w:cs="仿宋_GB2312"/>
                <w:sz w:val="21"/>
                <w:szCs w:val="21"/>
              </w:rPr>
              <w:t>号</w:t>
            </w:r>
          </w:p>
        </w:tc>
        <w:tc>
          <w:tcPr>
            <w:tcW w:w="2065" w:type="pct"/>
            <w:shd w:val="clear" w:color="auto" w:fill="FFFFFF"/>
            <w:vAlign w:val="center"/>
          </w:tcPr>
          <w:p w14:paraId="2CE7E2C0">
            <w:pPr>
              <w:jc w:val="center"/>
              <w:rPr>
                <w:rFonts w:ascii="宋体" w:hAnsi="宋体" w:cs="仿宋_GB2312"/>
                <w:sz w:val="21"/>
                <w:szCs w:val="21"/>
              </w:rPr>
            </w:pPr>
            <w:r>
              <w:rPr>
                <w:rFonts w:ascii="宋体" w:hAnsi="宋体" w:cs="仿宋_GB2312"/>
                <w:sz w:val="21"/>
                <w:szCs w:val="21"/>
              </w:rPr>
              <w:t>课程名称</w:t>
            </w:r>
          </w:p>
        </w:tc>
        <w:tc>
          <w:tcPr>
            <w:tcW w:w="475" w:type="pct"/>
            <w:shd w:val="clear" w:color="auto" w:fill="FFFFFF"/>
            <w:vAlign w:val="center"/>
          </w:tcPr>
          <w:p w14:paraId="49D14A3E">
            <w:pPr>
              <w:jc w:val="center"/>
              <w:rPr>
                <w:rFonts w:ascii="宋体" w:hAnsi="宋体" w:cs="仿宋_GB2312"/>
                <w:sz w:val="21"/>
                <w:szCs w:val="21"/>
              </w:rPr>
            </w:pPr>
            <w:r>
              <w:rPr>
                <w:rFonts w:ascii="宋体" w:hAnsi="宋体" w:cs="仿宋_GB2312"/>
                <w:sz w:val="21"/>
                <w:szCs w:val="21"/>
              </w:rPr>
              <w:t>学时</w:t>
            </w:r>
          </w:p>
        </w:tc>
        <w:tc>
          <w:tcPr>
            <w:tcW w:w="475" w:type="pct"/>
            <w:shd w:val="clear" w:color="auto" w:fill="FFFFFF"/>
            <w:vAlign w:val="center"/>
          </w:tcPr>
          <w:p w14:paraId="49A4A34E">
            <w:pPr>
              <w:jc w:val="center"/>
              <w:rPr>
                <w:rFonts w:ascii="宋体" w:hAnsi="宋体" w:cs="仿宋_GB2312"/>
                <w:sz w:val="21"/>
                <w:szCs w:val="21"/>
              </w:rPr>
            </w:pPr>
            <w:r>
              <w:rPr>
                <w:rFonts w:ascii="宋体" w:hAnsi="宋体" w:cs="仿宋_GB2312"/>
                <w:sz w:val="21"/>
                <w:szCs w:val="21"/>
              </w:rPr>
              <w:t>学分</w:t>
            </w:r>
          </w:p>
        </w:tc>
        <w:tc>
          <w:tcPr>
            <w:tcW w:w="1589" w:type="pct"/>
            <w:shd w:val="clear" w:color="auto" w:fill="FFFFFF"/>
            <w:vAlign w:val="center"/>
          </w:tcPr>
          <w:p w14:paraId="4216E74E">
            <w:pPr>
              <w:jc w:val="center"/>
              <w:rPr>
                <w:rFonts w:ascii="宋体" w:hAnsi="宋体" w:cs="仿宋_GB2312"/>
                <w:sz w:val="21"/>
                <w:szCs w:val="21"/>
              </w:rPr>
            </w:pPr>
            <w:r>
              <w:rPr>
                <w:rFonts w:ascii="宋体" w:hAnsi="宋体" w:cs="仿宋_GB2312"/>
                <w:sz w:val="21"/>
                <w:szCs w:val="21"/>
              </w:rPr>
              <w:t>任课教师</w:t>
            </w:r>
          </w:p>
        </w:tc>
      </w:tr>
      <w:tr w14:paraId="6C6D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395" w:type="pct"/>
            <w:vAlign w:val="center"/>
          </w:tcPr>
          <w:p w14:paraId="7356019F">
            <w:pPr>
              <w:jc w:val="center"/>
              <w:rPr>
                <w:rFonts w:ascii="宋体" w:hAnsi="宋体" w:cs="仿宋_GB2312"/>
                <w:sz w:val="21"/>
                <w:szCs w:val="21"/>
              </w:rPr>
            </w:pPr>
            <w:r>
              <w:rPr>
                <w:rFonts w:hint="eastAsia" w:ascii="宋体" w:hAnsi="宋体" w:cs="仿宋_GB2312"/>
                <w:sz w:val="21"/>
                <w:szCs w:val="21"/>
              </w:rPr>
              <w:t>1</w:t>
            </w:r>
          </w:p>
        </w:tc>
        <w:tc>
          <w:tcPr>
            <w:tcW w:w="2065" w:type="pct"/>
            <w:vAlign w:val="center"/>
          </w:tcPr>
          <w:p w14:paraId="6389413D">
            <w:pPr>
              <w:jc w:val="center"/>
              <w:rPr>
                <w:rFonts w:ascii="宋体" w:hAnsi="宋体" w:cs="仿宋_GB2312"/>
                <w:sz w:val="21"/>
                <w:szCs w:val="21"/>
              </w:rPr>
            </w:pPr>
            <w:r>
              <w:rPr>
                <w:rFonts w:hint="eastAsia" w:ascii="宋体" w:hAnsi="宋体" w:cs="仿宋_GB2312"/>
                <w:sz w:val="21"/>
                <w:szCs w:val="21"/>
              </w:rPr>
              <w:t>规划设计（1）</w:t>
            </w:r>
          </w:p>
        </w:tc>
        <w:tc>
          <w:tcPr>
            <w:tcW w:w="475" w:type="pct"/>
            <w:vAlign w:val="center"/>
          </w:tcPr>
          <w:p w14:paraId="38603FCA">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68C58B5C">
            <w:pPr>
              <w:jc w:val="center"/>
              <w:rPr>
                <w:rFonts w:ascii="宋体" w:hAnsi="宋体" w:cs="仿宋_GB2312"/>
                <w:sz w:val="21"/>
                <w:szCs w:val="21"/>
              </w:rPr>
            </w:pPr>
            <w:r>
              <w:rPr>
                <w:rFonts w:ascii="宋体" w:hAnsi="宋体" w:cs="仿宋_GB2312"/>
                <w:sz w:val="21"/>
                <w:szCs w:val="21"/>
              </w:rPr>
              <w:t>2.0</w:t>
            </w:r>
          </w:p>
        </w:tc>
        <w:tc>
          <w:tcPr>
            <w:tcW w:w="1589" w:type="pct"/>
            <w:vAlign w:val="center"/>
          </w:tcPr>
          <w:p w14:paraId="777DB693">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375F2BD1">
            <w:pPr>
              <w:jc w:val="center"/>
              <w:rPr>
                <w:rFonts w:ascii="宋体" w:hAnsi="宋体" w:cs="仿宋_GB2312"/>
                <w:sz w:val="21"/>
                <w:szCs w:val="21"/>
              </w:rPr>
            </w:pPr>
            <w:r>
              <w:rPr>
                <w:rFonts w:hint="eastAsia" w:ascii="宋体" w:hAnsi="宋体" w:cs="仿宋_GB2312"/>
                <w:sz w:val="21"/>
                <w:szCs w:val="21"/>
              </w:rPr>
              <w:t>刘立钧</w:t>
            </w:r>
            <w:r>
              <w:rPr>
                <w:rFonts w:ascii="宋体" w:hAnsi="宋体" w:cs="仿宋_GB2312"/>
                <w:sz w:val="21"/>
                <w:szCs w:val="21"/>
              </w:rPr>
              <w:t>（教授）</w:t>
            </w:r>
          </w:p>
          <w:p w14:paraId="20F501F0">
            <w:pPr>
              <w:jc w:val="center"/>
              <w:rPr>
                <w:rFonts w:ascii="宋体" w:hAnsi="宋体" w:cs="仿宋_GB2312"/>
                <w:sz w:val="21"/>
                <w:szCs w:val="21"/>
              </w:rPr>
            </w:pPr>
            <w:r>
              <w:rPr>
                <w:rFonts w:hint="eastAsia" w:ascii="宋体" w:hAnsi="宋体" w:cs="仿宋_GB2312"/>
                <w:sz w:val="21"/>
                <w:szCs w:val="21"/>
              </w:rPr>
              <w:t>汪江华</w:t>
            </w:r>
            <w:r>
              <w:rPr>
                <w:rFonts w:ascii="宋体" w:hAnsi="宋体" w:cs="仿宋_GB2312"/>
                <w:sz w:val="21"/>
                <w:szCs w:val="21"/>
              </w:rPr>
              <w:t>（教授）</w:t>
            </w:r>
          </w:p>
          <w:p w14:paraId="76FC6D65">
            <w:pPr>
              <w:jc w:val="center"/>
              <w:rPr>
                <w:rFonts w:ascii="宋体" w:hAnsi="宋体" w:cs="仿宋_GB2312"/>
                <w:sz w:val="21"/>
                <w:szCs w:val="21"/>
              </w:rPr>
            </w:pPr>
            <w:r>
              <w:rPr>
                <w:rFonts w:hint="eastAsia" w:ascii="宋体" w:hAnsi="宋体" w:cs="仿宋_GB2312"/>
                <w:sz w:val="21"/>
                <w:szCs w:val="21"/>
              </w:rPr>
              <w:t>谭立峰</w:t>
            </w:r>
            <w:r>
              <w:rPr>
                <w:rFonts w:ascii="宋体" w:hAnsi="宋体" w:cs="仿宋_GB2312"/>
                <w:sz w:val="21"/>
                <w:szCs w:val="21"/>
              </w:rPr>
              <w:t>（教授）</w:t>
            </w:r>
          </w:p>
        </w:tc>
      </w:tr>
      <w:tr w14:paraId="263E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95" w:type="pct"/>
            <w:vAlign w:val="center"/>
          </w:tcPr>
          <w:p w14:paraId="79E4D90D">
            <w:pPr>
              <w:jc w:val="center"/>
              <w:rPr>
                <w:rFonts w:ascii="宋体" w:hAnsi="宋体" w:cs="仿宋_GB2312"/>
                <w:sz w:val="21"/>
                <w:szCs w:val="21"/>
              </w:rPr>
            </w:pPr>
            <w:r>
              <w:rPr>
                <w:rFonts w:hint="eastAsia" w:ascii="宋体" w:hAnsi="宋体" w:cs="仿宋_GB2312"/>
                <w:sz w:val="21"/>
                <w:szCs w:val="21"/>
              </w:rPr>
              <w:t>2</w:t>
            </w:r>
          </w:p>
        </w:tc>
        <w:tc>
          <w:tcPr>
            <w:tcW w:w="2065" w:type="pct"/>
            <w:vAlign w:val="center"/>
          </w:tcPr>
          <w:p w14:paraId="58E69EF1">
            <w:pPr>
              <w:jc w:val="center"/>
              <w:rPr>
                <w:rFonts w:ascii="宋体" w:hAnsi="宋体" w:cs="仿宋_GB2312"/>
                <w:sz w:val="21"/>
                <w:szCs w:val="21"/>
              </w:rPr>
            </w:pPr>
            <w:r>
              <w:rPr>
                <w:rFonts w:hint="eastAsia" w:ascii="宋体" w:hAnsi="宋体" w:cs="仿宋_GB2312"/>
                <w:sz w:val="21"/>
                <w:szCs w:val="21"/>
              </w:rPr>
              <w:t>规划设计（2）</w:t>
            </w:r>
          </w:p>
        </w:tc>
        <w:tc>
          <w:tcPr>
            <w:tcW w:w="475" w:type="pct"/>
            <w:vAlign w:val="center"/>
          </w:tcPr>
          <w:p w14:paraId="2D0BD538">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317E4E72">
            <w:pPr>
              <w:jc w:val="center"/>
              <w:rPr>
                <w:rFonts w:ascii="宋体" w:hAnsi="宋体" w:cs="仿宋_GB2312"/>
                <w:sz w:val="21"/>
                <w:szCs w:val="21"/>
              </w:rPr>
            </w:pPr>
            <w:r>
              <w:rPr>
                <w:rFonts w:ascii="宋体" w:hAnsi="宋体" w:cs="仿宋_GB2312"/>
                <w:sz w:val="21"/>
                <w:szCs w:val="21"/>
              </w:rPr>
              <w:t>2.0</w:t>
            </w:r>
          </w:p>
        </w:tc>
        <w:tc>
          <w:tcPr>
            <w:tcW w:w="1589" w:type="pct"/>
            <w:vAlign w:val="center"/>
          </w:tcPr>
          <w:p w14:paraId="5AEB3BE3">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61A36B7B">
            <w:pPr>
              <w:jc w:val="center"/>
              <w:rPr>
                <w:rFonts w:ascii="宋体" w:hAnsi="宋体" w:cs="仿宋_GB2312"/>
                <w:sz w:val="21"/>
                <w:szCs w:val="21"/>
              </w:rPr>
            </w:pPr>
            <w:r>
              <w:rPr>
                <w:rFonts w:hint="eastAsia" w:ascii="宋体" w:hAnsi="宋体" w:cs="仿宋_GB2312"/>
                <w:sz w:val="21"/>
                <w:szCs w:val="21"/>
              </w:rPr>
              <w:t>徐嵩</w:t>
            </w:r>
            <w:r>
              <w:rPr>
                <w:rFonts w:ascii="宋体" w:hAnsi="宋体" w:cs="仿宋_GB2312"/>
                <w:sz w:val="21"/>
                <w:szCs w:val="21"/>
              </w:rPr>
              <w:t>（博士学位讲师）</w:t>
            </w:r>
          </w:p>
        </w:tc>
      </w:tr>
      <w:tr w14:paraId="36AB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Align w:val="center"/>
          </w:tcPr>
          <w:p w14:paraId="193EF3B1">
            <w:pPr>
              <w:jc w:val="center"/>
              <w:rPr>
                <w:rFonts w:ascii="宋体" w:hAnsi="宋体" w:cs="仿宋_GB2312"/>
                <w:sz w:val="21"/>
                <w:szCs w:val="21"/>
              </w:rPr>
            </w:pPr>
            <w:r>
              <w:rPr>
                <w:rFonts w:hint="eastAsia" w:ascii="宋体" w:hAnsi="宋体" w:cs="仿宋_GB2312"/>
                <w:sz w:val="21"/>
                <w:szCs w:val="21"/>
              </w:rPr>
              <w:t>3</w:t>
            </w:r>
          </w:p>
        </w:tc>
        <w:tc>
          <w:tcPr>
            <w:tcW w:w="2065" w:type="pct"/>
            <w:vAlign w:val="center"/>
          </w:tcPr>
          <w:p w14:paraId="5C34B6E7">
            <w:pPr>
              <w:jc w:val="center"/>
              <w:rPr>
                <w:rFonts w:ascii="宋体" w:hAnsi="宋体" w:cs="仿宋_GB2312"/>
                <w:sz w:val="21"/>
                <w:szCs w:val="21"/>
              </w:rPr>
            </w:pPr>
            <w:r>
              <w:rPr>
                <w:rFonts w:hint="eastAsia" w:ascii="宋体" w:hAnsi="宋体" w:cs="仿宋_GB2312"/>
                <w:sz w:val="21"/>
                <w:szCs w:val="21"/>
              </w:rPr>
              <w:t>现代城市规划理论与思潮</w:t>
            </w:r>
          </w:p>
        </w:tc>
        <w:tc>
          <w:tcPr>
            <w:tcW w:w="475" w:type="pct"/>
            <w:vAlign w:val="center"/>
          </w:tcPr>
          <w:p w14:paraId="127D0DF8">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1ADF148B">
            <w:pPr>
              <w:jc w:val="center"/>
              <w:rPr>
                <w:rFonts w:ascii="宋体" w:hAnsi="宋体" w:cs="仿宋_GB2312"/>
                <w:sz w:val="21"/>
                <w:szCs w:val="21"/>
              </w:rPr>
            </w:pPr>
            <w:r>
              <w:rPr>
                <w:rFonts w:ascii="宋体" w:hAnsi="宋体" w:cs="仿宋_GB2312"/>
                <w:sz w:val="21"/>
                <w:szCs w:val="21"/>
              </w:rPr>
              <w:t>3.0</w:t>
            </w:r>
          </w:p>
        </w:tc>
        <w:tc>
          <w:tcPr>
            <w:tcW w:w="1589" w:type="pct"/>
            <w:vAlign w:val="center"/>
          </w:tcPr>
          <w:p w14:paraId="2DB1527A">
            <w:pPr>
              <w:jc w:val="center"/>
              <w:rPr>
                <w:rFonts w:ascii="宋体" w:hAnsi="宋体" w:cs="仿宋_GB2312"/>
                <w:sz w:val="21"/>
                <w:szCs w:val="21"/>
              </w:rPr>
            </w:pPr>
            <w:r>
              <w:rPr>
                <w:rFonts w:hint="eastAsia" w:ascii="宋体" w:hAnsi="宋体" w:cs="仿宋_GB2312"/>
                <w:sz w:val="21"/>
                <w:szCs w:val="21"/>
              </w:rPr>
              <w:t>王滢</w:t>
            </w:r>
            <w:r>
              <w:rPr>
                <w:rFonts w:ascii="宋体" w:hAnsi="宋体" w:cs="仿宋_GB2312"/>
                <w:sz w:val="21"/>
                <w:szCs w:val="21"/>
              </w:rPr>
              <w:t>（博士学位讲师）</w:t>
            </w:r>
          </w:p>
        </w:tc>
      </w:tr>
      <w:tr w14:paraId="3D41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95" w:type="pct"/>
            <w:vAlign w:val="center"/>
          </w:tcPr>
          <w:p w14:paraId="432C3E73">
            <w:pPr>
              <w:jc w:val="center"/>
              <w:rPr>
                <w:rFonts w:ascii="宋体" w:hAnsi="宋体" w:cs="仿宋_GB2312"/>
                <w:sz w:val="21"/>
                <w:szCs w:val="21"/>
              </w:rPr>
            </w:pPr>
            <w:r>
              <w:rPr>
                <w:rFonts w:hint="eastAsia" w:ascii="宋体" w:hAnsi="宋体" w:cs="仿宋_GB2312"/>
                <w:sz w:val="21"/>
                <w:szCs w:val="21"/>
              </w:rPr>
              <w:t>4</w:t>
            </w:r>
          </w:p>
        </w:tc>
        <w:tc>
          <w:tcPr>
            <w:tcW w:w="2065" w:type="pct"/>
            <w:vAlign w:val="center"/>
          </w:tcPr>
          <w:p w14:paraId="2DD2206E">
            <w:pPr>
              <w:jc w:val="center"/>
              <w:rPr>
                <w:rFonts w:ascii="宋体" w:hAnsi="宋体" w:cs="仿宋_GB2312"/>
                <w:sz w:val="21"/>
                <w:szCs w:val="21"/>
              </w:rPr>
            </w:pPr>
            <w:r>
              <w:rPr>
                <w:rFonts w:hint="eastAsia" w:ascii="宋体" w:hAnsi="宋体" w:cs="仿宋_GB2312"/>
                <w:sz w:val="21"/>
                <w:szCs w:val="21"/>
              </w:rPr>
              <w:t>研究生论文写作指导</w:t>
            </w:r>
          </w:p>
        </w:tc>
        <w:tc>
          <w:tcPr>
            <w:tcW w:w="475" w:type="pct"/>
            <w:vAlign w:val="center"/>
          </w:tcPr>
          <w:p w14:paraId="5CD3A003">
            <w:pPr>
              <w:jc w:val="center"/>
              <w:rPr>
                <w:rFonts w:ascii="宋体" w:hAnsi="宋体" w:cs="仿宋_GB2312"/>
                <w:sz w:val="21"/>
                <w:szCs w:val="21"/>
              </w:rPr>
            </w:pPr>
            <w:r>
              <w:rPr>
                <w:rFonts w:ascii="宋体" w:hAnsi="宋体" w:cs="仿宋_GB2312"/>
                <w:sz w:val="21"/>
                <w:szCs w:val="21"/>
              </w:rPr>
              <w:t>8</w:t>
            </w:r>
          </w:p>
        </w:tc>
        <w:tc>
          <w:tcPr>
            <w:tcW w:w="475" w:type="pct"/>
            <w:vAlign w:val="center"/>
          </w:tcPr>
          <w:p w14:paraId="2FE19821">
            <w:pPr>
              <w:jc w:val="center"/>
              <w:rPr>
                <w:rFonts w:ascii="宋体" w:hAnsi="宋体" w:cs="仿宋_GB2312"/>
                <w:sz w:val="21"/>
                <w:szCs w:val="21"/>
              </w:rPr>
            </w:pPr>
            <w:r>
              <w:rPr>
                <w:rFonts w:ascii="宋体" w:hAnsi="宋体" w:cs="仿宋_GB2312"/>
                <w:sz w:val="21"/>
                <w:szCs w:val="21"/>
              </w:rPr>
              <w:t>0.5</w:t>
            </w:r>
          </w:p>
        </w:tc>
        <w:tc>
          <w:tcPr>
            <w:tcW w:w="1589" w:type="pct"/>
            <w:vAlign w:val="center"/>
          </w:tcPr>
          <w:p w14:paraId="3C0A793B">
            <w:pPr>
              <w:jc w:val="center"/>
              <w:rPr>
                <w:rFonts w:ascii="宋体" w:hAnsi="宋体" w:cs="仿宋_GB2312"/>
                <w:sz w:val="21"/>
                <w:szCs w:val="21"/>
              </w:rPr>
            </w:pPr>
            <w:r>
              <w:rPr>
                <w:rFonts w:hint="eastAsia" w:ascii="宋体" w:hAnsi="宋体" w:cs="仿宋_GB2312"/>
                <w:sz w:val="21"/>
                <w:szCs w:val="21"/>
              </w:rPr>
              <w:t>陈立镜</w:t>
            </w:r>
            <w:r>
              <w:rPr>
                <w:rFonts w:ascii="宋体" w:hAnsi="宋体" w:cs="仿宋_GB2312"/>
                <w:sz w:val="21"/>
                <w:szCs w:val="21"/>
              </w:rPr>
              <w:t>（博士学位讲师）</w:t>
            </w:r>
          </w:p>
          <w:p w14:paraId="40E2CDF6">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41BEC606">
            <w:pPr>
              <w:jc w:val="center"/>
              <w:rPr>
                <w:rFonts w:ascii="宋体" w:hAnsi="宋体" w:cs="仿宋_GB2312"/>
                <w:sz w:val="21"/>
                <w:szCs w:val="21"/>
              </w:rPr>
            </w:pPr>
            <w:r>
              <w:rPr>
                <w:rFonts w:hint="eastAsia" w:ascii="宋体" w:hAnsi="宋体" w:cs="仿宋_GB2312"/>
                <w:sz w:val="21"/>
                <w:szCs w:val="21"/>
              </w:rPr>
              <w:t>王岩（教授）</w:t>
            </w:r>
          </w:p>
          <w:p w14:paraId="1C1A95A0">
            <w:pPr>
              <w:jc w:val="center"/>
              <w:rPr>
                <w:rFonts w:ascii="宋体" w:hAnsi="宋体" w:cs="仿宋_GB2312"/>
                <w:sz w:val="21"/>
                <w:szCs w:val="21"/>
              </w:rPr>
            </w:pPr>
            <w:r>
              <w:rPr>
                <w:rFonts w:ascii="宋体" w:hAnsi="宋体" w:cs="仿宋_GB2312"/>
                <w:sz w:val="21"/>
                <w:szCs w:val="21"/>
              </w:rPr>
              <w:t>吴军</w:t>
            </w:r>
            <w:r>
              <w:rPr>
                <w:rFonts w:hint="eastAsia" w:ascii="宋体" w:hAnsi="宋体" w:cs="仿宋_GB2312"/>
                <w:sz w:val="21"/>
                <w:szCs w:val="21"/>
              </w:rPr>
              <w:t>（副教授）</w:t>
            </w:r>
          </w:p>
        </w:tc>
      </w:tr>
      <w:tr w14:paraId="69E3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Align w:val="center"/>
          </w:tcPr>
          <w:p w14:paraId="2ABE533D">
            <w:pPr>
              <w:jc w:val="center"/>
              <w:rPr>
                <w:rFonts w:ascii="宋体" w:hAnsi="宋体" w:cs="仿宋_GB2312"/>
                <w:sz w:val="21"/>
                <w:szCs w:val="21"/>
              </w:rPr>
            </w:pPr>
            <w:r>
              <w:rPr>
                <w:rFonts w:hint="eastAsia" w:ascii="宋体" w:hAnsi="宋体" w:cs="仿宋_GB2312"/>
                <w:sz w:val="21"/>
                <w:szCs w:val="21"/>
              </w:rPr>
              <w:t>5</w:t>
            </w:r>
          </w:p>
        </w:tc>
        <w:tc>
          <w:tcPr>
            <w:tcW w:w="2065" w:type="pct"/>
            <w:vAlign w:val="center"/>
          </w:tcPr>
          <w:p w14:paraId="21A44355">
            <w:pPr>
              <w:jc w:val="center"/>
              <w:rPr>
                <w:rFonts w:ascii="宋体" w:hAnsi="宋体" w:cs="仿宋_GB2312"/>
                <w:sz w:val="21"/>
                <w:szCs w:val="21"/>
              </w:rPr>
            </w:pPr>
            <w:r>
              <w:rPr>
                <w:rFonts w:hint="eastAsia" w:ascii="宋体" w:hAnsi="宋体" w:cs="仿宋_GB2312"/>
                <w:sz w:val="21"/>
                <w:szCs w:val="21"/>
              </w:rPr>
              <w:t>社会调查及分析方法</w:t>
            </w:r>
          </w:p>
        </w:tc>
        <w:tc>
          <w:tcPr>
            <w:tcW w:w="475" w:type="pct"/>
            <w:vAlign w:val="center"/>
          </w:tcPr>
          <w:p w14:paraId="48B1E8F4">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75FD47B5">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052D437E">
            <w:pPr>
              <w:jc w:val="center"/>
              <w:rPr>
                <w:rFonts w:ascii="宋体" w:hAnsi="宋体" w:cs="仿宋_GB2312"/>
                <w:sz w:val="21"/>
                <w:szCs w:val="21"/>
              </w:rPr>
            </w:pPr>
            <w:r>
              <w:rPr>
                <w:rFonts w:hint="eastAsia" w:ascii="宋体" w:hAnsi="宋体" w:cs="仿宋_GB2312"/>
                <w:sz w:val="21"/>
                <w:szCs w:val="21"/>
              </w:rPr>
              <w:t>朱凤杰</w:t>
            </w:r>
            <w:r>
              <w:rPr>
                <w:rFonts w:ascii="宋体" w:hAnsi="宋体" w:cs="仿宋_GB2312"/>
                <w:sz w:val="21"/>
                <w:szCs w:val="21"/>
              </w:rPr>
              <w:t>（博士学位讲师）</w:t>
            </w:r>
          </w:p>
        </w:tc>
      </w:tr>
      <w:tr w14:paraId="059E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6B8EE54C">
            <w:pPr>
              <w:jc w:val="center"/>
              <w:rPr>
                <w:rFonts w:ascii="宋体" w:hAnsi="宋体" w:cs="仿宋_GB2312"/>
                <w:sz w:val="21"/>
                <w:szCs w:val="21"/>
              </w:rPr>
            </w:pPr>
            <w:r>
              <w:rPr>
                <w:rFonts w:hint="eastAsia" w:ascii="宋体" w:hAnsi="宋体" w:cs="仿宋_GB2312"/>
                <w:sz w:val="21"/>
                <w:szCs w:val="21"/>
              </w:rPr>
              <w:t>6</w:t>
            </w:r>
          </w:p>
        </w:tc>
        <w:tc>
          <w:tcPr>
            <w:tcW w:w="2065" w:type="pct"/>
            <w:vAlign w:val="center"/>
          </w:tcPr>
          <w:p w14:paraId="6E952D7A">
            <w:pPr>
              <w:jc w:val="center"/>
              <w:rPr>
                <w:rFonts w:ascii="宋体" w:hAnsi="宋体" w:cs="仿宋_GB2312"/>
                <w:sz w:val="21"/>
                <w:szCs w:val="21"/>
              </w:rPr>
            </w:pPr>
            <w:r>
              <w:rPr>
                <w:rFonts w:hint="eastAsia" w:ascii="宋体" w:hAnsi="宋体" w:cs="仿宋_GB2312"/>
                <w:sz w:val="21"/>
                <w:szCs w:val="21"/>
              </w:rPr>
              <w:t>环境行为学</w:t>
            </w:r>
          </w:p>
        </w:tc>
        <w:tc>
          <w:tcPr>
            <w:tcW w:w="475" w:type="pct"/>
            <w:vAlign w:val="center"/>
          </w:tcPr>
          <w:p w14:paraId="5A532197">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3E057892">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6E9F980D">
            <w:pPr>
              <w:jc w:val="center"/>
              <w:rPr>
                <w:rFonts w:ascii="宋体" w:hAnsi="宋体" w:cs="仿宋_GB2312"/>
                <w:sz w:val="21"/>
                <w:szCs w:val="21"/>
              </w:rPr>
            </w:pPr>
            <w:r>
              <w:rPr>
                <w:rFonts w:hint="eastAsia" w:ascii="宋体" w:hAnsi="宋体" w:cs="仿宋_GB2312"/>
                <w:sz w:val="21"/>
                <w:szCs w:val="21"/>
              </w:rPr>
              <w:t>张天宇</w:t>
            </w:r>
            <w:r>
              <w:rPr>
                <w:rFonts w:ascii="宋体" w:hAnsi="宋体" w:cs="仿宋_GB2312"/>
                <w:sz w:val="21"/>
                <w:szCs w:val="21"/>
              </w:rPr>
              <w:t>（副教授）</w:t>
            </w:r>
          </w:p>
        </w:tc>
      </w:tr>
      <w:tr w14:paraId="7469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10F42EE7">
            <w:pPr>
              <w:jc w:val="center"/>
              <w:rPr>
                <w:rFonts w:ascii="宋体" w:hAnsi="宋体" w:cs="仿宋_GB2312"/>
                <w:sz w:val="21"/>
                <w:szCs w:val="21"/>
              </w:rPr>
            </w:pPr>
            <w:r>
              <w:rPr>
                <w:rFonts w:hint="eastAsia" w:ascii="宋体" w:hAnsi="宋体" w:cs="仿宋_GB2312"/>
                <w:sz w:val="21"/>
                <w:szCs w:val="21"/>
              </w:rPr>
              <w:t>7</w:t>
            </w:r>
          </w:p>
        </w:tc>
        <w:tc>
          <w:tcPr>
            <w:tcW w:w="2065" w:type="pct"/>
            <w:vAlign w:val="center"/>
          </w:tcPr>
          <w:p w14:paraId="2AF6E58C">
            <w:pPr>
              <w:jc w:val="center"/>
              <w:rPr>
                <w:rFonts w:ascii="宋体" w:hAnsi="宋体" w:cs="仿宋_GB2312"/>
                <w:sz w:val="21"/>
                <w:szCs w:val="21"/>
              </w:rPr>
            </w:pPr>
            <w:r>
              <w:rPr>
                <w:rFonts w:hint="eastAsia" w:ascii="宋体" w:hAnsi="宋体" w:cs="仿宋_GB2312"/>
                <w:sz w:val="21"/>
                <w:szCs w:val="21"/>
              </w:rPr>
              <w:t>建筑计划学</w:t>
            </w:r>
          </w:p>
        </w:tc>
        <w:tc>
          <w:tcPr>
            <w:tcW w:w="475" w:type="pct"/>
            <w:vAlign w:val="center"/>
          </w:tcPr>
          <w:p w14:paraId="5376B636">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7654DCF8">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2EAB5835">
            <w:pPr>
              <w:jc w:val="center"/>
              <w:rPr>
                <w:rFonts w:ascii="宋体" w:hAnsi="宋体" w:cs="仿宋_GB2312"/>
                <w:sz w:val="21"/>
                <w:szCs w:val="21"/>
              </w:rPr>
            </w:pPr>
            <w:r>
              <w:rPr>
                <w:rFonts w:hint="eastAsia" w:ascii="宋体" w:hAnsi="宋体" w:cs="仿宋_GB2312"/>
                <w:sz w:val="21"/>
                <w:szCs w:val="21"/>
              </w:rPr>
              <w:t>李峰</w:t>
            </w:r>
            <w:r>
              <w:rPr>
                <w:rFonts w:ascii="宋体" w:hAnsi="宋体" w:cs="仿宋_GB2312"/>
                <w:sz w:val="21"/>
                <w:szCs w:val="21"/>
              </w:rPr>
              <w:t>（博士学位讲师）</w:t>
            </w:r>
          </w:p>
        </w:tc>
      </w:tr>
      <w:tr w14:paraId="2173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7B6B6DD7">
            <w:pPr>
              <w:jc w:val="center"/>
              <w:rPr>
                <w:rFonts w:ascii="宋体" w:hAnsi="宋体" w:cs="仿宋_GB2312"/>
                <w:sz w:val="21"/>
                <w:szCs w:val="21"/>
              </w:rPr>
            </w:pPr>
            <w:r>
              <w:rPr>
                <w:rFonts w:hint="eastAsia" w:ascii="宋体" w:hAnsi="宋体" w:cs="仿宋_GB2312"/>
                <w:sz w:val="21"/>
                <w:szCs w:val="21"/>
              </w:rPr>
              <w:t>8</w:t>
            </w:r>
          </w:p>
        </w:tc>
        <w:tc>
          <w:tcPr>
            <w:tcW w:w="2065" w:type="pct"/>
            <w:vAlign w:val="center"/>
          </w:tcPr>
          <w:p w14:paraId="5E68B076">
            <w:pPr>
              <w:jc w:val="center"/>
              <w:rPr>
                <w:rFonts w:ascii="宋体" w:hAnsi="宋体" w:cs="仿宋_GB2312"/>
                <w:sz w:val="21"/>
                <w:szCs w:val="21"/>
              </w:rPr>
            </w:pPr>
            <w:r>
              <w:rPr>
                <w:rFonts w:hint="eastAsia" w:ascii="宋体" w:hAnsi="宋体" w:cs="仿宋_GB2312"/>
                <w:sz w:val="21"/>
                <w:szCs w:val="21"/>
              </w:rPr>
              <w:t>城市空间设计</w:t>
            </w:r>
          </w:p>
        </w:tc>
        <w:tc>
          <w:tcPr>
            <w:tcW w:w="475" w:type="pct"/>
            <w:vAlign w:val="center"/>
          </w:tcPr>
          <w:p w14:paraId="1BD7C32D">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7F1FEB4D">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38169799">
            <w:pPr>
              <w:jc w:val="center"/>
              <w:rPr>
                <w:rFonts w:ascii="宋体" w:hAnsi="宋体" w:cs="仿宋_GB2312"/>
                <w:sz w:val="21"/>
                <w:szCs w:val="21"/>
              </w:rPr>
            </w:pPr>
            <w:r>
              <w:rPr>
                <w:rFonts w:hint="eastAsia" w:ascii="宋体" w:hAnsi="宋体" w:cs="仿宋_GB2312"/>
                <w:sz w:val="21"/>
                <w:szCs w:val="21"/>
              </w:rPr>
              <w:t>宫同伟</w:t>
            </w:r>
            <w:r>
              <w:rPr>
                <w:rFonts w:ascii="宋体" w:hAnsi="宋体" w:cs="仿宋_GB2312"/>
                <w:sz w:val="21"/>
                <w:szCs w:val="21"/>
              </w:rPr>
              <w:t>（副教授）</w:t>
            </w:r>
          </w:p>
        </w:tc>
      </w:tr>
      <w:tr w14:paraId="5E5D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95" w:type="pct"/>
          </w:tcPr>
          <w:p w14:paraId="6D2EFC0D">
            <w:pPr>
              <w:jc w:val="center"/>
              <w:rPr>
                <w:rFonts w:ascii="宋体" w:hAnsi="宋体" w:cs="仿宋_GB2312"/>
                <w:sz w:val="21"/>
                <w:szCs w:val="21"/>
              </w:rPr>
            </w:pPr>
            <w:r>
              <w:rPr>
                <w:rFonts w:hint="eastAsia" w:ascii="宋体" w:hAnsi="宋体" w:cs="仿宋_GB2312"/>
                <w:sz w:val="21"/>
                <w:szCs w:val="21"/>
              </w:rPr>
              <w:t>9</w:t>
            </w:r>
          </w:p>
        </w:tc>
        <w:tc>
          <w:tcPr>
            <w:tcW w:w="2065" w:type="pct"/>
            <w:vAlign w:val="center"/>
          </w:tcPr>
          <w:p w14:paraId="44CFDDD9">
            <w:pPr>
              <w:jc w:val="center"/>
              <w:rPr>
                <w:rFonts w:ascii="宋体" w:hAnsi="宋体" w:cs="仿宋_GB2312"/>
                <w:sz w:val="21"/>
                <w:szCs w:val="21"/>
              </w:rPr>
            </w:pPr>
            <w:r>
              <w:rPr>
                <w:rFonts w:hint="eastAsia" w:ascii="宋体" w:hAnsi="宋体" w:cs="仿宋_GB2312"/>
                <w:sz w:val="21"/>
                <w:szCs w:val="21"/>
              </w:rPr>
              <w:t>城市空间数字技术应用</w:t>
            </w:r>
          </w:p>
        </w:tc>
        <w:tc>
          <w:tcPr>
            <w:tcW w:w="475" w:type="pct"/>
            <w:vAlign w:val="center"/>
          </w:tcPr>
          <w:p w14:paraId="667CD8B1">
            <w:pPr>
              <w:jc w:val="center"/>
              <w:rPr>
                <w:rFonts w:ascii="宋体" w:hAnsi="宋体" w:cs="仿宋_GB2312"/>
                <w:sz w:val="21"/>
                <w:szCs w:val="21"/>
              </w:rPr>
            </w:pPr>
            <w:r>
              <w:rPr>
                <w:rFonts w:ascii="宋体" w:hAnsi="宋体" w:cs="仿宋_GB2312"/>
                <w:sz w:val="21"/>
                <w:szCs w:val="21"/>
              </w:rPr>
              <w:t>24</w:t>
            </w:r>
          </w:p>
        </w:tc>
        <w:tc>
          <w:tcPr>
            <w:tcW w:w="475" w:type="pct"/>
            <w:vAlign w:val="center"/>
          </w:tcPr>
          <w:p w14:paraId="38239C1F">
            <w:pPr>
              <w:jc w:val="center"/>
              <w:rPr>
                <w:rFonts w:ascii="宋体" w:hAnsi="宋体" w:cs="仿宋_GB2312"/>
                <w:sz w:val="21"/>
                <w:szCs w:val="21"/>
              </w:rPr>
            </w:pPr>
            <w:r>
              <w:rPr>
                <w:rFonts w:ascii="宋体" w:hAnsi="宋体" w:cs="仿宋_GB2312"/>
                <w:sz w:val="21"/>
                <w:szCs w:val="21"/>
              </w:rPr>
              <w:t>1.5</w:t>
            </w:r>
          </w:p>
        </w:tc>
        <w:tc>
          <w:tcPr>
            <w:tcW w:w="1589" w:type="pct"/>
            <w:vAlign w:val="center"/>
          </w:tcPr>
          <w:p w14:paraId="1BD6161A">
            <w:pPr>
              <w:jc w:val="center"/>
              <w:rPr>
                <w:rFonts w:ascii="宋体" w:hAnsi="宋体" w:cs="仿宋_GB2312"/>
                <w:sz w:val="21"/>
                <w:szCs w:val="21"/>
              </w:rPr>
            </w:pPr>
            <w:r>
              <w:rPr>
                <w:rFonts w:hint="eastAsia" w:ascii="宋体" w:hAnsi="宋体" w:cs="仿宋_GB2312"/>
                <w:sz w:val="21"/>
                <w:szCs w:val="21"/>
              </w:rPr>
              <w:t>李发明</w:t>
            </w:r>
            <w:r>
              <w:rPr>
                <w:rFonts w:ascii="宋体" w:hAnsi="宋体" w:cs="仿宋_GB2312"/>
                <w:sz w:val="21"/>
                <w:szCs w:val="21"/>
              </w:rPr>
              <w:t>（博士学位讲师）</w:t>
            </w:r>
          </w:p>
          <w:p w14:paraId="0640A5E2">
            <w:pPr>
              <w:jc w:val="center"/>
              <w:rPr>
                <w:rFonts w:ascii="宋体" w:hAnsi="宋体" w:cs="仿宋_GB2312"/>
                <w:sz w:val="21"/>
                <w:szCs w:val="21"/>
              </w:rPr>
            </w:pPr>
            <w:r>
              <w:rPr>
                <w:rFonts w:hint="eastAsia" w:ascii="宋体" w:hAnsi="宋体" w:cs="仿宋_GB2312"/>
                <w:sz w:val="21"/>
                <w:szCs w:val="21"/>
              </w:rPr>
              <w:t>王海涛</w:t>
            </w:r>
            <w:r>
              <w:rPr>
                <w:rFonts w:ascii="宋体" w:hAnsi="宋体" w:cs="仿宋_GB2312"/>
                <w:sz w:val="21"/>
                <w:szCs w:val="21"/>
              </w:rPr>
              <w:t>（博士学位讲师）</w:t>
            </w:r>
          </w:p>
        </w:tc>
      </w:tr>
      <w:tr w14:paraId="0D81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170B93DC">
            <w:pPr>
              <w:jc w:val="center"/>
              <w:rPr>
                <w:rFonts w:ascii="宋体" w:hAnsi="宋体" w:cs="仿宋_GB2312"/>
                <w:sz w:val="21"/>
                <w:szCs w:val="21"/>
              </w:rPr>
            </w:pPr>
            <w:r>
              <w:rPr>
                <w:rFonts w:hint="eastAsia" w:ascii="宋体" w:hAnsi="宋体" w:cs="仿宋_GB2312"/>
                <w:sz w:val="21"/>
                <w:szCs w:val="21"/>
              </w:rPr>
              <w:t>10</w:t>
            </w:r>
          </w:p>
        </w:tc>
        <w:tc>
          <w:tcPr>
            <w:tcW w:w="2065" w:type="pct"/>
            <w:vAlign w:val="center"/>
          </w:tcPr>
          <w:p w14:paraId="793CACB9">
            <w:pPr>
              <w:jc w:val="center"/>
              <w:rPr>
                <w:rFonts w:ascii="宋体" w:hAnsi="宋体" w:cs="仿宋_GB2312"/>
                <w:sz w:val="21"/>
                <w:szCs w:val="21"/>
              </w:rPr>
            </w:pPr>
            <w:r>
              <w:rPr>
                <w:rFonts w:hint="eastAsia" w:ascii="宋体" w:hAnsi="宋体" w:cs="仿宋_GB2312"/>
                <w:sz w:val="21"/>
                <w:szCs w:val="21"/>
              </w:rPr>
              <w:t>艺术史纲</w:t>
            </w:r>
          </w:p>
        </w:tc>
        <w:tc>
          <w:tcPr>
            <w:tcW w:w="475" w:type="pct"/>
            <w:vAlign w:val="center"/>
          </w:tcPr>
          <w:p w14:paraId="5675C6FB">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5AB8F2EB">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3A3E1DDB">
            <w:pPr>
              <w:jc w:val="center"/>
              <w:rPr>
                <w:rFonts w:ascii="宋体" w:hAnsi="宋体" w:cs="仿宋_GB2312"/>
                <w:sz w:val="21"/>
                <w:szCs w:val="21"/>
              </w:rPr>
            </w:pPr>
            <w:r>
              <w:rPr>
                <w:rFonts w:hint="eastAsia" w:ascii="宋体" w:hAnsi="宋体" w:cs="仿宋_GB2312"/>
                <w:sz w:val="21"/>
                <w:szCs w:val="21"/>
              </w:rPr>
              <w:t>孙媛媛</w:t>
            </w:r>
            <w:r>
              <w:rPr>
                <w:rFonts w:ascii="宋体" w:hAnsi="宋体" w:cs="仿宋_GB2312"/>
                <w:sz w:val="21"/>
                <w:szCs w:val="21"/>
              </w:rPr>
              <w:t>（副教授）</w:t>
            </w:r>
          </w:p>
        </w:tc>
      </w:tr>
      <w:tr w14:paraId="4164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3C700D73">
            <w:pPr>
              <w:jc w:val="center"/>
              <w:rPr>
                <w:rFonts w:ascii="宋体" w:hAnsi="宋体" w:cs="仿宋_GB2312"/>
                <w:sz w:val="21"/>
                <w:szCs w:val="21"/>
              </w:rPr>
            </w:pPr>
            <w:r>
              <w:rPr>
                <w:rFonts w:hint="eastAsia" w:ascii="宋体" w:hAnsi="宋体" w:cs="仿宋_GB2312"/>
                <w:sz w:val="21"/>
                <w:szCs w:val="21"/>
              </w:rPr>
              <w:t>11</w:t>
            </w:r>
          </w:p>
        </w:tc>
        <w:tc>
          <w:tcPr>
            <w:tcW w:w="2065" w:type="pct"/>
            <w:vAlign w:val="center"/>
          </w:tcPr>
          <w:p w14:paraId="31002949">
            <w:pPr>
              <w:jc w:val="center"/>
              <w:rPr>
                <w:rFonts w:ascii="宋体" w:hAnsi="宋体" w:cs="仿宋_GB2312"/>
                <w:sz w:val="21"/>
                <w:szCs w:val="21"/>
              </w:rPr>
            </w:pPr>
            <w:r>
              <w:rPr>
                <w:rFonts w:hint="eastAsia" w:ascii="宋体" w:hAnsi="宋体" w:cs="仿宋_GB2312"/>
                <w:sz w:val="21"/>
                <w:szCs w:val="21"/>
              </w:rPr>
              <w:t>生态学专题</w:t>
            </w:r>
          </w:p>
        </w:tc>
        <w:tc>
          <w:tcPr>
            <w:tcW w:w="475" w:type="pct"/>
            <w:vAlign w:val="center"/>
          </w:tcPr>
          <w:p w14:paraId="4ADE72AF">
            <w:pPr>
              <w:jc w:val="center"/>
              <w:rPr>
                <w:rFonts w:ascii="宋体" w:hAnsi="宋体" w:cs="仿宋_GB2312"/>
                <w:sz w:val="21"/>
                <w:szCs w:val="21"/>
              </w:rPr>
            </w:pPr>
            <w:r>
              <w:rPr>
                <w:rFonts w:ascii="宋体" w:hAnsi="宋体" w:cs="仿宋_GB2312"/>
                <w:sz w:val="21"/>
                <w:szCs w:val="21"/>
              </w:rPr>
              <w:t>24</w:t>
            </w:r>
          </w:p>
        </w:tc>
        <w:tc>
          <w:tcPr>
            <w:tcW w:w="475" w:type="pct"/>
            <w:vAlign w:val="center"/>
          </w:tcPr>
          <w:p w14:paraId="165999C6">
            <w:pPr>
              <w:jc w:val="center"/>
              <w:rPr>
                <w:rFonts w:ascii="宋体" w:hAnsi="宋体" w:cs="仿宋_GB2312"/>
                <w:sz w:val="21"/>
                <w:szCs w:val="21"/>
              </w:rPr>
            </w:pPr>
            <w:r>
              <w:rPr>
                <w:rFonts w:ascii="宋体" w:hAnsi="宋体" w:cs="仿宋_GB2312"/>
                <w:sz w:val="21"/>
                <w:szCs w:val="21"/>
              </w:rPr>
              <w:t>1.5</w:t>
            </w:r>
          </w:p>
        </w:tc>
        <w:tc>
          <w:tcPr>
            <w:tcW w:w="1589" w:type="pct"/>
            <w:vAlign w:val="center"/>
          </w:tcPr>
          <w:p w14:paraId="0C920013">
            <w:pPr>
              <w:jc w:val="center"/>
              <w:rPr>
                <w:rFonts w:ascii="宋体" w:hAnsi="宋体" w:cs="仿宋_GB2312"/>
                <w:sz w:val="21"/>
                <w:szCs w:val="21"/>
              </w:rPr>
            </w:pPr>
            <w:r>
              <w:rPr>
                <w:rFonts w:ascii="宋体" w:hAnsi="宋体" w:cs="仿宋_GB2312"/>
                <w:sz w:val="21"/>
                <w:szCs w:val="21"/>
              </w:rPr>
              <w:t>杨传贵（教授）</w:t>
            </w:r>
          </w:p>
        </w:tc>
      </w:tr>
    </w:tbl>
    <w:p w14:paraId="1F210925">
      <w:pPr>
        <w:pStyle w:val="2"/>
      </w:pPr>
      <w:r>
        <w:rPr>
          <w:rFonts w:hint="eastAsia"/>
        </w:rPr>
        <w:t>3</w:t>
      </w:r>
      <w:r>
        <w:t>.4导师指导</w:t>
      </w:r>
    </w:p>
    <w:p w14:paraId="584C08EF">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导师队伍的选聘：</w:t>
      </w:r>
      <w:r>
        <w:rPr>
          <w:rFonts w:ascii="宋体" w:hAnsi="宋体" w:eastAsia="宋体" w:cs="宋体"/>
          <w:color w:val="auto"/>
          <w:sz w:val="28"/>
          <w:szCs w:val="28"/>
        </w:rPr>
        <w:t>申请硕士研究生指导教师应具备的基本条件</w:t>
      </w:r>
      <w:r>
        <w:rPr>
          <w:rFonts w:hint="eastAsia" w:ascii="宋体" w:hAnsi="宋体" w:eastAsia="宋体" w:cs="宋体"/>
          <w:color w:val="auto"/>
          <w:sz w:val="28"/>
          <w:szCs w:val="28"/>
        </w:rPr>
        <w:t>如下。</w:t>
      </w:r>
    </w:p>
    <w:p w14:paraId="2887DB03">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热爱祖国，拥护中国共产党领导，认真贯彻落实党的教育方针，忠于人民的教育事业，具有较高的政治素质；坚持立德树人，以德立学，以德施教，恪守学术道德；熟悉学位与研究生教育工作，富于创新精神；能够履行硕士研究生指导教师职责。</w:t>
      </w:r>
    </w:p>
    <w:p w14:paraId="10B9CA86">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（2）具有高级专业技术职称，或具有博士学位的中级专业技术职称，且学校聘期岗位考核合格。</w:t>
      </w:r>
    </w:p>
    <w:p w14:paraId="498AEB17">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学术学位硕士研究生指导教师应具有较高的学术造诣，有从事科研工作经验和稳定的研究方向；专业学位研究生指导教师，应具有较为丰富的工程背景或实践经验，在科技开发和成果转化中成绩突出并取得较好的经济效益或社会效益。</w:t>
      </w:r>
    </w:p>
    <w:p w14:paraId="6F67989A">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（4）能够讲授所在学科（专业）</w:t>
      </w:r>
      <w:r>
        <w:rPr>
          <w:rFonts w:ascii="宋体" w:hAnsi="宋体" w:eastAsia="宋体" w:cs="宋体"/>
          <w:color w:val="auto"/>
          <w:sz w:val="28"/>
          <w:szCs w:val="28"/>
        </w:rPr>
        <w:t>1门及以上硕士研究生课程，</w:t>
      </w:r>
      <w:r>
        <w:rPr>
          <w:rFonts w:hint="eastAsia" w:ascii="宋体" w:hAnsi="宋体" w:eastAsia="宋体" w:cs="宋体"/>
          <w:color w:val="auto"/>
          <w:sz w:val="28"/>
          <w:szCs w:val="28"/>
        </w:rPr>
        <w:t>或举办反映该学科（专业）当前发展水平的专题讲座；能指导硕士研究生进行专业外国语学习。指导中外合作办学及来华留学硕士研究生的指导教师应具有良好的英文沟通能力。</w:t>
      </w:r>
    </w:p>
    <w:p w14:paraId="76FA8EDD">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（5）原则上到规定退休年龄前至少能完整指导毕业一届硕士研究生。</w:t>
      </w:r>
    </w:p>
    <w:p w14:paraId="6C2F2286">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培训与考核情况：本学位点在导师聘用中严格遵守天津城建大学的相关规定，强调德才兼备、专业能力强、实践经验丰富的教师作为专业学位导师的基本条件，积极选聘规划设计大师、设计企业的院长、总规划师等校外资源扩充导师队伍。每学期定期举办各类专业培训，加强校内外导师之间的交流，为校内外导师的各种合作创造条件。为提高新增导师的教学能力，学院安排新增导师与经验丰富的导师联合指导硕士生，至完成全过程培养环节后才具有独立招生资格。</w:t>
      </w:r>
    </w:p>
    <w:p w14:paraId="13B28073">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学院每年对指导教师进行考核，</w:t>
      </w:r>
      <w:r>
        <w:rPr>
          <w:rFonts w:ascii="宋体" w:hAnsi="宋体" w:eastAsia="宋体" w:cs="宋体"/>
          <w:color w:val="auto"/>
          <w:sz w:val="28"/>
          <w:szCs w:val="28"/>
        </w:rPr>
        <w:t>一般于每年7月进</w:t>
      </w:r>
      <w:r>
        <w:rPr>
          <w:rFonts w:hint="eastAsia" w:ascii="宋体" w:hAnsi="宋体" w:eastAsia="宋体" w:cs="宋体"/>
          <w:color w:val="auto"/>
          <w:sz w:val="28"/>
          <w:szCs w:val="28"/>
        </w:rPr>
        <w:t>行。</w:t>
      </w:r>
      <w:r>
        <w:rPr>
          <w:rFonts w:ascii="宋体" w:hAnsi="宋体" w:eastAsia="宋体" w:cs="宋体"/>
          <w:color w:val="auto"/>
          <w:sz w:val="28"/>
          <w:szCs w:val="28"/>
        </w:rPr>
        <w:t>考核内容</w:t>
      </w:r>
      <w:r>
        <w:rPr>
          <w:rFonts w:hint="eastAsia" w:ascii="宋体" w:hAnsi="宋体" w:eastAsia="宋体" w:cs="宋体"/>
          <w:color w:val="auto"/>
          <w:sz w:val="28"/>
          <w:szCs w:val="28"/>
        </w:rPr>
        <w:t>包括</w:t>
      </w:r>
      <w:r>
        <w:rPr>
          <w:rFonts w:ascii="宋体" w:hAnsi="宋体" w:eastAsia="宋体" w:cs="宋体"/>
          <w:color w:val="auto"/>
          <w:sz w:val="28"/>
          <w:szCs w:val="28"/>
        </w:rPr>
        <w:t>考核硕士研究生指导教师的师德师风、立德树</w:t>
      </w:r>
      <w:r>
        <w:rPr>
          <w:rFonts w:hint="eastAsia" w:ascii="宋体" w:hAnsi="宋体" w:eastAsia="宋体" w:cs="宋体"/>
          <w:color w:val="auto"/>
          <w:sz w:val="28"/>
          <w:szCs w:val="28"/>
        </w:rPr>
        <w:t>人、指导研究生履职情况和学术业绩等；指导教师在规定时间内，向学院提交《建筑学院硕士研究生指导教师年度考核登记表》。考核结果可作为指导教师本年度招收硕士研究生的依据。</w:t>
      </w:r>
      <w:r>
        <w:rPr>
          <w:rFonts w:ascii="宋体" w:hAnsi="宋体" w:eastAsia="宋体" w:cs="宋体"/>
          <w:color w:val="auto"/>
          <w:sz w:val="28"/>
          <w:szCs w:val="28"/>
        </w:rPr>
        <w:t>考核结果分为合格与不合格。考核不合格的指导教师暂停当年</w:t>
      </w:r>
      <w:r>
        <w:rPr>
          <w:rFonts w:hint="eastAsia" w:ascii="宋体" w:hAnsi="宋体" w:eastAsia="宋体" w:cs="宋体"/>
          <w:color w:val="auto"/>
          <w:sz w:val="28"/>
          <w:szCs w:val="28"/>
        </w:rPr>
        <w:t>的招生资格。</w:t>
      </w:r>
    </w:p>
    <w:p w14:paraId="1E88163E">
      <w:pPr>
        <w:pStyle w:val="23"/>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导师指导研究生的制度要求和执行情况：</w:t>
      </w:r>
      <w:r>
        <w:rPr>
          <w:rFonts w:ascii="宋体" w:hAnsi="宋体" w:eastAsia="宋体" w:cs="宋体"/>
          <w:color w:val="auto"/>
          <w:sz w:val="28"/>
          <w:szCs w:val="28"/>
        </w:rPr>
        <w:t>学校鼓励硕士研究生培养采用团队指导方式，指导教</w:t>
      </w:r>
      <w:r>
        <w:rPr>
          <w:rFonts w:hint="eastAsia" w:ascii="宋体" w:hAnsi="宋体" w:eastAsia="宋体" w:cs="宋体"/>
          <w:color w:val="auto"/>
          <w:sz w:val="28"/>
          <w:szCs w:val="28"/>
        </w:rPr>
        <w:t>师团队应由具有硕士研究生指导教师资格的人员负责，并吸收</w:t>
      </w:r>
      <w:r>
        <w:rPr>
          <w:rFonts w:ascii="宋体" w:hAnsi="宋体" w:eastAsia="宋体" w:cs="宋体"/>
          <w:color w:val="auto"/>
          <w:sz w:val="28"/>
          <w:szCs w:val="28"/>
        </w:rPr>
        <w:t>1至2</w:t>
      </w:r>
      <w:r>
        <w:rPr>
          <w:rFonts w:hint="eastAsia" w:ascii="宋体" w:hAnsi="宋体" w:eastAsia="宋体" w:cs="宋体"/>
          <w:color w:val="auto"/>
          <w:sz w:val="28"/>
          <w:szCs w:val="28"/>
        </w:rPr>
        <w:t>名具有博士学位的青年教师参加。二级学院应制定指导教师团队管理实施细则。指导教师团队由二级学院学位评定分委员会审批，报研究生处备案。</w:t>
      </w:r>
    </w:p>
    <w:p w14:paraId="2E14A910">
      <w:pPr>
        <w:pStyle w:val="23"/>
        <w:spacing w:line="360" w:lineRule="auto"/>
        <w:ind w:firstLine="560" w:firstLineChars="200"/>
        <w:rPr>
          <w:rFonts w:ascii="宋体" w:hAnsi="宋体" w:eastAsia="宋体" w:cs="宋体"/>
          <w:color w:val="auto"/>
          <w:sz w:val="28"/>
          <w:szCs w:val="28"/>
        </w:rPr>
      </w:pPr>
      <w:r>
        <w:rPr>
          <w:rFonts w:ascii="宋体" w:hAnsi="宋体" w:eastAsia="宋体" w:cs="宋体"/>
          <w:color w:val="auto"/>
          <w:sz w:val="28"/>
          <w:szCs w:val="28"/>
        </w:rPr>
        <w:t>校内硕士研究生指导教师退休或调离学校，所指导</w:t>
      </w:r>
      <w:r>
        <w:rPr>
          <w:rFonts w:hint="eastAsia" w:ascii="宋体" w:hAnsi="宋体" w:eastAsia="宋体" w:cs="宋体"/>
          <w:color w:val="auto"/>
          <w:sz w:val="28"/>
          <w:szCs w:val="28"/>
        </w:rPr>
        <w:t>的硕士研究生可变更指导教师或由原指导教师继续指导。</w:t>
      </w:r>
    </w:p>
    <w:p w14:paraId="252D4A88">
      <w:pPr>
        <w:pStyle w:val="23"/>
        <w:spacing w:line="360" w:lineRule="auto"/>
        <w:ind w:firstLine="560" w:firstLineChars="200"/>
        <w:rPr>
          <w:rFonts w:ascii="宋体" w:hAnsi="宋体" w:eastAsia="宋体" w:cs="宋体"/>
          <w:color w:val="auto"/>
          <w:sz w:val="28"/>
          <w:szCs w:val="28"/>
        </w:rPr>
      </w:pPr>
      <w:r>
        <w:rPr>
          <w:rFonts w:ascii="宋体" w:hAnsi="宋体" w:eastAsia="宋体" w:cs="宋体"/>
          <w:color w:val="auto"/>
          <w:sz w:val="28"/>
          <w:szCs w:val="28"/>
        </w:rPr>
        <w:t>硕士研究生由外聘指导教师、退休指导教师指导的，</w:t>
      </w:r>
      <w:r>
        <w:rPr>
          <w:rFonts w:hint="eastAsia" w:ascii="宋体" w:hAnsi="宋体" w:eastAsia="宋体" w:cs="宋体"/>
          <w:color w:val="auto"/>
          <w:sz w:val="28"/>
          <w:szCs w:val="28"/>
        </w:rPr>
        <w:t>或指导教师调离学校的，须由二级学院安排校内第二导师，第二导师负责研究生培养日常管理工作，并取得相应的研究生指导工作量。第二导师应为具有高级技术职称或具有博士学位的本校教师。</w:t>
      </w:r>
    </w:p>
    <w:p w14:paraId="6D270DCA">
      <w:pPr>
        <w:pStyle w:val="2"/>
      </w:pPr>
      <w:r>
        <w:rPr>
          <w:rFonts w:hint="eastAsia"/>
        </w:rPr>
        <w:t>3</w:t>
      </w:r>
      <w:r>
        <w:t>.5学术训练</w:t>
      </w:r>
    </w:p>
    <w:p w14:paraId="5B6A5DA2">
      <w:pPr>
        <w:spacing w:line="360" w:lineRule="auto"/>
        <w:ind w:firstLine="560" w:firstLineChars="200"/>
        <w:rPr>
          <w:rFonts w:ascii="宋体" w:hAnsi="宋体"/>
          <w:szCs w:val="28"/>
        </w:rPr>
      </w:pPr>
      <w:r>
        <w:rPr>
          <w:rFonts w:hint="eastAsia" w:ascii="宋体" w:hAnsi="宋体"/>
          <w:szCs w:val="28"/>
        </w:rPr>
        <w:t>城乡规划学硕士研究生通过学位培养方案全过程训练，能够从事城市规划与设计相关研究，并在导师指导下完成学术性学位论文。研究生科研能力与方法的培养贯穿于整个研究生的培养过程之中。主要分为两个阶段，即理论学习阶段和论文写作阶段。其中</w:t>
      </w:r>
      <w:r>
        <w:rPr>
          <w:rFonts w:hint="eastAsia" w:ascii="宋体" w:hAnsi="宋体"/>
          <w:szCs w:val="28"/>
          <w:lang w:eastAsia="zh-CN"/>
        </w:rPr>
        <w:t>，</w:t>
      </w:r>
      <w:r>
        <w:rPr>
          <w:rFonts w:hint="eastAsia" w:ascii="宋体" w:hAnsi="宋体"/>
          <w:szCs w:val="28"/>
        </w:rPr>
        <w:t>在一年级的理论学习阶段，“研究生论文写作指导”等课程以及多门课程结课的研究报告、文献阅读、参加学术报告、发表论文都是强化研究能力培养的手段；另外</w:t>
      </w:r>
      <w:r>
        <w:rPr>
          <w:rFonts w:hint="eastAsia" w:ascii="宋体" w:hAnsi="宋体"/>
          <w:szCs w:val="28"/>
          <w:lang w:eastAsia="zh-CN"/>
        </w:rPr>
        <w:t>，</w:t>
      </w:r>
      <w:r>
        <w:rPr>
          <w:rFonts w:hint="eastAsia" w:ascii="宋体" w:hAnsi="宋体"/>
          <w:szCs w:val="28"/>
        </w:rPr>
        <w:t>通过参与到导师科研课题研究也是提高学生科研能力的一个重要途径。</w:t>
      </w:r>
    </w:p>
    <w:p w14:paraId="7AE19E29">
      <w:pPr>
        <w:spacing w:line="360" w:lineRule="auto"/>
        <w:ind w:firstLine="560" w:firstLineChars="200"/>
        <w:rPr>
          <w:rFonts w:ascii="宋体" w:hAnsi="宋体"/>
          <w:szCs w:val="28"/>
        </w:rPr>
      </w:pPr>
      <w:r>
        <w:rPr>
          <w:rFonts w:hint="eastAsia" w:ascii="宋体" w:hAnsi="宋体"/>
          <w:szCs w:val="28"/>
        </w:rPr>
        <w:t>《天津城建大学全面落实研究生导师立德树人职责实施细则》中明确：（1）优化研究生培养条件。积极为研究生的学习和成长创造条件，为研究生开展科学研究提供有利条件；积极创设良好的学术流平台，提供研究生参与社会实践和学术交流的机会；鼓励研究生积极参与课题研究，并根据实际情况，为研究生提供相应的经费支持。（2）培养研究生实践创新能力。注重培养研究生分析问题、解决问题的能力，强化理论与实践相结合；鼓励研究生参与创新实践赛事活动，并给予时间、经费等条件支持；支持全日制专业学位研究生在学期间进行至少半年的专业实践，期间至少到实践基地指导</w:t>
      </w:r>
      <w:r>
        <w:rPr>
          <w:rFonts w:ascii="宋体" w:hAnsi="宋体"/>
          <w:szCs w:val="28"/>
        </w:rPr>
        <w:t>2</w:t>
      </w:r>
      <w:r>
        <w:rPr>
          <w:rFonts w:hint="eastAsia" w:ascii="宋体" w:hAnsi="宋体"/>
          <w:szCs w:val="28"/>
        </w:rPr>
        <w:t>次，并做好研究生实践安全教育，积极与校外合作导师沟通。鼓励研究生进行创业实践；支持和指导研究生将科研成果转化应用，推动产学研用紧密结合，提升研究生创新创业能力。</w:t>
      </w:r>
    </w:p>
    <w:p w14:paraId="784193AE">
      <w:pPr>
        <w:pStyle w:val="2"/>
      </w:pPr>
      <w:r>
        <w:rPr>
          <w:rFonts w:hint="eastAsia"/>
        </w:rPr>
        <w:t>3</w:t>
      </w:r>
      <w:r>
        <w:t>.6学术交流</w:t>
      </w:r>
    </w:p>
    <w:p w14:paraId="0F82815A">
      <w:pPr>
        <w:widowControl/>
        <w:spacing w:line="360" w:lineRule="auto"/>
        <w:ind w:firstLine="560" w:firstLineChars="200"/>
        <w:rPr>
          <w:rFonts w:ascii="宋体" w:hAnsi="宋体" w:cs="宋体"/>
        </w:rPr>
      </w:pPr>
      <w:r>
        <w:rPr>
          <w:rFonts w:hint="eastAsia" w:ascii="宋体" w:hAnsi="宋体" w:cs="宋体"/>
        </w:rPr>
        <w:t>2021年顺利完成修订本学位点研究生培养方案。在学术训练和实践教学中，积极组织研究生参加学科竞赛和创新创业大赛，重点围绕“互联网+”等具有标志性的赛事，开展宣传、组织、培训和指导工作，以赛促教打造高效课堂。构建“竞赛团队负责教师-硕士研究生-高年级本科</w:t>
      </w:r>
      <w:r>
        <w:rPr>
          <w:rFonts w:hint="default" w:ascii="宋体" w:hAnsi="宋体" w:cs="宋体"/>
          <w:lang w:val="en-US" w:eastAsia="zh-CN"/>
        </w:rPr>
        <w:t>”</w:t>
      </w:r>
      <w:r>
        <w:rPr>
          <w:rFonts w:hint="eastAsia" w:ascii="宋体" w:hAnsi="宋体" w:cs="宋体"/>
        </w:rPr>
        <w:t>的三级联动梯队组合式学科竞赛、科技创新、社会实践团队。近两年，围绕村镇聚落生态重构方向，指导学生《再造桃花源：美丽乡村人居环境模块化设计工具包》获2021年“中银杯”第八届天津青年创新创业大赛天津赛区铜奖1项，指导学生获批天津市研究生科研创新项目3项。</w:t>
      </w:r>
    </w:p>
    <w:p w14:paraId="4DCA42BB">
      <w:pPr>
        <w:pStyle w:val="2"/>
      </w:pPr>
      <w:r>
        <w:t>3.7论文质量</w:t>
      </w:r>
    </w:p>
    <w:p w14:paraId="50984091">
      <w:pPr>
        <w:spacing w:line="360" w:lineRule="auto"/>
        <w:ind w:firstLine="560" w:firstLineChars="200"/>
        <w:rPr>
          <w:rFonts w:ascii="宋体" w:hAnsi="宋体"/>
          <w:szCs w:val="28"/>
        </w:rPr>
      </w:pPr>
      <w:r>
        <w:rPr>
          <w:rFonts w:hint="eastAsia" w:ascii="宋体" w:hAnsi="宋体"/>
          <w:szCs w:val="28"/>
        </w:rPr>
        <w:t>在二年级开始的论文准备阶段，文献综述和论文选题是学术研究的重要一环。一般由导师与研究生多次讨论，选择恰当的论题，并确定论文框架；由研究生查阅资料后，完成选题报告。开题报告在学院组织的开题会上讨论通过，对未能达到开题要求的需修改后重新开题。开题后，开始调研、资料收集、撰写论文。在论文撰写期间，导师把握课题方向、学术水平、方法论等原则问题，并给予经常性指导。在论文的开题、调研、资料收集和论文撰写中，培养了研究生独立思考，科学钻研，综合分析和敢于创新的能力。学校规定研究生答辩前，必须公开发表论文或在专业学术会议、研究生学术论坛上提交论文。</w:t>
      </w:r>
    </w:p>
    <w:p w14:paraId="50DAFE6C">
      <w:pPr>
        <w:spacing w:line="360" w:lineRule="auto"/>
        <w:ind w:firstLine="560" w:firstLineChars="200"/>
        <w:rPr>
          <w:rFonts w:ascii="宋体" w:hAnsi="宋体"/>
          <w:szCs w:val="28"/>
        </w:rPr>
      </w:pPr>
      <w:r>
        <w:rPr>
          <w:rFonts w:hint="eastAsia" w:ascii="宋体" w:hAnsi="宋体"/>
          <w:szCs w:val="28"/>
        </w:rPr>
        <w:t>论文答辩须通过答辩资格审查，采取盲审、评阅、答辩的形式，并依据《天津城建大学硕士研究生学位论文答辩工作规定》</w:t>
      </w:r>
      <w:r>
        <w:rPr>
          <w:rFonts w:hint="eastAsia" w:ascii="宋体" w:hAnsi="宋体"/>
          <w:szCs w:val="28"/>
          <w:lang w:eastAsia="zh-CN"/>
        </w:rPr>
        <w:t>、</w:t>
      </w:r>
      <w:r>
        <w:rPr>
          <w:rFonts w:hint="eastAsia" w:ascii="宋体" w:hAnsi="宋体"/>
          <w:szCs w:val="28"/>
        </w:rPr>
        <w:t>《天津城建大学硕士研究生学位论文学术不端行为检测暂行规定》等文件开展工作。</w:t>
      </w:r>
    </w:p>
    <w:p w14:paraId="0F8EDCBB">
      <w:pPr>
        <w:spacing w:line="360" w:lineRule="auto"/>
        <w:ind w:firstLine="560" w:firstLineChars="200"/>
        <w:rPr>
          <w:rFonts w:ascii="宋体" w:hAnsi="宋体"/>
          <w:szCs w:val="28"/>
        </w:rPr>
      </w:pPr>
      <w:r>
        <w:rPr>
          <w:rFonts w:hint="eastAsia" w:ascii="宋体" w:hAnsi="宋体"/>
          <w:szCs w:val="28"/>
        </w:rPr>
        <w:t>论文评阅或盲审通过的研究生可申请答辩。答辩委员会由校内外具有高级职称的专家</w:t>
      </w:r>
      <w:r>
        <w:rPr>
          <w:rFonts w:ascii="宋体" w:hAnsi="宋体"/>
          <w:szCs w:val="28"/>
        </w:rPr>
        <w:t>3-5人组成，答辩通过后，须经学院学位委员会审查，通过后报请学校学位委员会审批，方能授予学位。此外，为保证学位论文的完成质量，研究生部及学院对学位论文的开题、中期检查、写作及答辩工作的时间、任务与要求等均有文件规定，由研究生部及学院统一检查。</w:t>
      </w:r>
    </w:p>
    <w:p w14:paraId="6FD6436F">
      <w:pPr>
        <w:spacing w:line="360" w:lineRule="auto"/>
        <w:ind w:firstLine="560" w:firstLineChars="200"/>
        <w:rPr>
          <w:rFonts w:ascii="宋体" w:hAnsi="宋体"/>
          <w:szCs w:val="28"/>
        </w:rPr>
      </w:pPr>
      <w:r>
        <w:rPr>
          <w:rFonts w:hint="eastAsia" w:ascii="宋体" w:hAnsi="宋体"/>
          <w:szCs w:val="28"/>
        </w:rPr>
        <w:t>本学位点202</w:t>
      </w:r>
      <w:r>
        <w:rPr>
          <w:rFonts w:ascii="宋体" w:hAnsi="宋体"/>
          <w:szCs w:val="28"/>
        </w:rPr>
        <w:t>1</w:t>
      </w:r>
      <w:r>
        <w:rPr>
          <w:rFonts w:hint="eastAsia" w:ascii="宋体" w:hAnsi="宋体"/>
          <w:szCs w:val="28"/>
        </w:rPr>
        <w:t>年学位论文盲审1</w:t>
      </w:r>
      <w:r>
        <w:rPr>
          <w:rFonts w:ascii="宋体" w:hAnsi="宋体"/>
          <w:szCs w:val="28"/>
        </w:rPr>
        <w:t>00</w:t>
      </w:r>
      <w:r>
        <w:rPr>
          <w:rFonts w:hint="eastAsia" w:ascii="宋体" w:hAnsi="宋体"/>
          <w:szCs w:val="28"/>
        </w:rPr>
        <w:t>%</w:t>
      </w:r>
      <w:r>
        <w:rPr>
          <w:rFonts w:ascii="宋体" w:hAnsi="宋体"/>
          <w:szCs w:val="28"/>
        </w:rPr>
        <w:t>通过</w:t>
      </w:r>
      <w:r>
        <w:rPr>
          <w:rFonts w:hint="eastAsia" w:ascii="宋体" w:hAnsi="宋体"/>
          <w:szCs w:val="28"/>
        </w:rPr>
        <w:t>，在各类论文抽检、评审中的情况良好。</w:t>
      </w:r>
    </w:p>
    <w:p w14:paraId="4A4CAED3">
      <w:pPr>
        <w:pStyle w:val="2"/>
      </w:pPr>
      <w:r>
        <w:t>3.8质量保证</w:t>
      </w:r>
    </w:p>
    <w:p w14:paraId="0E8780C2">
      <w:pPr>
        <w:spacing w:line="360" w:lineRule="auto"/>
        <w:ind w:firstLine="560" w:firstLineChars="200"/>
        <w:rPr>
          <w:rFonts w:ascii="宋体" w:hAnsi="宋体"/>
          <w:szCs w:val="28"/>
        </w:rPr>
      </w:pPr>
      <w:r>
        <w:rPr>
          <w:rFonts w:hint="eastAsia" w:ascii="宋体" w:hAnsi="宋体"/>
          <w:szCs w:val="28"/>
        </w:rPr>
        <w:t>研究生处成立了学位与研究生教学督导小组，从研究生的招生、培养、学位论文工作、学科建设工作，到研究生的日程管理环节都要进行督导，从而保证了教学质量与研究生培养环节的严谨性，加强对研究生培养全过程的监控。</w:t>
      </w:r>
    </w:p>
    <w:p w14:paraId="411B9A88">
      <w:pPr>
        <w:spacing w:line="360" w:lineRule="auto"/>
        <w:ind w:firstLine="560" w:firstLineChars="200"/>
        <w:rPr>
          <w:rFonts w:ascii="宋体" w:hAnsi="宋体"/>
          <w:szCs w:val="28"/>
        </w:rPr>
      </w:pPr>
      <w:r>
        <w:rPr>
          <w:rFonts w:hint="eastAsia" w:ascii="宋体" w:hAnsi="宋体"/>
          <w:szCs w:val="28"/>
        </w:rPr>
        <w:t>为了全面培养学生的科学研究能力，城乡规划系硕士研究生第一、二学期完成研究生理论课学习，第三学期导师制定学位论文研究工作计划，学院统一组织开题报告，经学科团队评议通过后方能实施。第四学期学院统一组织中期考核，对研究生各方面培养情况进行综合评价。城乡规划系硕士研究生用于论文写作的时间不少于</w:t>
      </w:r>
      <w:r>
        <w:rPr>
          <w:rFonts w:ascii="宋体" w:hAnsi="宋体"/>
          <w:szCs w:val="28"/>
        </w:rPr>
        <w:t>1.5年，在完成毕业论文写作后，应在答辩前2个月将论文提交至学院，由学院统一组织对论文进行评阅或盲审。</w:t>
      </w:r>
    </w:p>
    <w:p w14:paraId="5AFF2959">
      <w:pPr>
        <w:spacing w:line="360" w:lineRule="auto"/>
        <w:ind w:firstLine="560" w:firstLineChars="200"/>
        <w:rPr>
          <w:rFonts w:ascii="宋体" w:hAnsi="宋体"/>
          <w:szCs w:val="28"/>
        </w:rPr>
      </w:pPr>
      <w:r>
        <w:rPr>
          <w:rFonts w:hint="eastAsia" w:ascii="宋体" w:hAnsi="宋体"/>
          <w:szCs w:val="28"/>
        </w:rPr>
        <w:t>（1）</w:t>
      </w:r>
      <w:r>
        <w:rPr>
          <w:rFonts w:ascii="宋体" w:hAnsi="宋体"/>
          <w:szCs w:val="28"/>
        </w:rPr>
        <w:t>学位论文要求</w:t>
      </w:r>
    </w:p>
    <w:p w14:paraId="0B6B009D">
      <w:pPr>
        <w:spacing w:line="360" w:lineRule="auto"/>
        <w:ind w:firstLine="560" w:firstLineChars="200"/>
        <w:rPr>
          <w:rFonts w:ascii="宋体" w:hAnsi="宋体"/>
          <w:szCs w:val="28"/>
        </w:rPr>
      </w:pPr>
      <w:r>
        <w:rPr>
          <w:rFonts w:ascii="宋体" w:hAnsi="宋体"/>
          <w:szCs w:val="28"/>
        </w:rPr>
        <w:t>硕士研究生学位论文应在导师指导下，独立完成。论文结构按照《天津城建大学硕士研究生论文管理规定》要求执行。</w:t>
      </w:r>
    </w:p>
    <w:p w14:paraId="4063987A">
      <w:pPr>
        <w:spacing w:line="360" w:lineRule="auto"/>
        <w:ind w:firstLine="560" w:firstLineChars="200"/>
        <w:rPr>
          <w:rFonts w:ascii="宋体" w:hAnsi="宋体"/>
          <w:szCs w:val="28"/>
        </w:rPr>
      </w:pPr>
      <w:r>
        <w:rPr>
          <w:rFonts w:hint="eastAsia" w:ascii="宋体" w:hAnsi="宋体"/>
          <w:szCs w:val="28"/>
        </w:rPr>
        <w:t>（2）</w:t>
      </w:r>
      <w:r>
        <w:rPr>
          <w:rFonts w:ascii="宋体" w:hAnsi="宋体"/>
          <w:szCs w:val="28"/>
        </w:rPr>
        <w:t>论文过程管理</w:t>
      </w:r>
    </w:p>
    <w:p w14:paraId="6741E41D">
      <w:pPr>
        <w:spacing w:line="360" w:lineRule="auto"/>
        <w:ind w:firstLine="560" w:firstLineChars="200"/>
        <w:rPr>
          <w:rFonts w:ascii="宋体" w:hAnsi="宋体"/>
          <w:szCs w:val="28"/>
        </w:rPr>
      </w:pPr>
      <w:r>
        <w:rPr>
          <w:rFonts w:ascii="宋体" w:hAnsi="宋体"/>
          <w:szCs w:val="28"/>
        </w:rPr>
        <w:t>学位论文包括开题、中期检查、预答辩以及答辩等环节。</w:t>
      </w:r>
    </w:p>
    <w:p w14:paraId="2E644EFA">
      <w:pPr>
        <w:spacing w:line="360" w:lineRule="auto"/>
        <w:ind w:firstLine="560" w:firstLineChars="200"/>
        <w:rPr>
          <w:rFonts w:ascii="宋体" w:hAnsi="宋体"/>
          <w:szCs w:val="28"/>
        </w:rPr>
      </w:pPr>
      <w:r>
        <w:rPr>
          <w:rFonts w:hint="eastAsia" w:ascii="宋体" w:hAnsi="宋体"/>
          <w:szCs w:val="28"/>
        </w:rPr>
        <w:t>①</w:t>
      </w:r>
      <w:r>
        <w:rPr>
          <w:rFonts w:ascii="宋体" w:hAnsi="宋体"/>
          <w:szCs w:val="28"/>
        </w:rPr>
        <w:t>开题</w:t>
      </w:r>
    </w:p>
    <w:p w14:paraId="38F2E0EF">
      <w:pPr>
        <w:spacing w:line="360" w:lineRule="auto"/>
        <w:ind w:firstLine="560" w:firstLineChars="200"/>
        <w:rPr>
          <w:rFonts w:ascii="宋体" w:hAnsi="宋体"/>
          <w:szCs w:val="28"/>
        </w:rPr>
      </w:pPr>
      <w:r>
        <w:rPr>
          <w:rFonts w:ascii="宋体" w:hAnsi="宋体"/>
          <w:szCs w:val="28"/>
        </w:rPr>
        <w:t>论文的选题和所研究的内容应符合本学科研究方向，应具有理论意义或实用价值。应举行论文开题报告会，由有关专家集中审议研究生论文选题，并依据《天津城建大学硕士研究生培养管理规定》和《建筑学院硕士研究生开题报告资格审查与程序的相关规定》开展工作。</w:t>
      </w:r>
    </w:p>
    <w:p w14:paraId="39DF6680">
      <w:pPr>
        <w:spacing w:line="360" w:lineRule="auto"/>
        <w:ind w:firstLine="560" w:firstLineChars="200"/>
        <w:rPr>
          <w:rFonts w:ascii="宋体" w:hAnsi="宋体"/>
          <w:szCs w:val="28"/>
        </w:rPr>
      </w:pPr>
      <w:r>
        <w:rPr>
          <w:rFonts w:hint="eastAsia" w:ascii="宋体" w:hAnsi="宋体"/>
          <w:szCs w:val="28"/>
        </w:rPr>
        <w:t>②</w:t>
      </w:r>
      <w:r>
        <w:rPr>
          <w:rFonts w:ascii="宋体" w:hAnsi="宋体"/>
          <w:szCs w:val="28"/>
        </w:rPr>
        <w:t>中期检查</w:t>
      </w:r>
    </w:p>
    <w:p w14:paraId="504622E4">
      <w:pPr>
        <w:spacing w:line="360" w:lineRule="auto"/>
        <w:ind w:firstLine="560" w:firstLineChars="200"/>
        <w:rPr>
          <w:rFonts w:ascii="宋体" w:hAnsi="宋体"/>
          <w:szCs w:val="28"/>
        </w:rPr>
      </w:pPr>
      <w:r>
        <w:rPr>
          <w:rFonts w:ascii="宋体" w:hAnsi="宋体"/>
          <w:szCs w:val="28"/>
        </w:rPr>
        <w:t>论文须进行中期检查，提交“论文中期检查报告”，并依据《天津城建大学硕士研究生中期考核规定》</w:t>
      </w:r>
      <w:r>
        <w:rPr>
          <w:rFonts w:hint="eastAsia" w:ascii="宋体" w:hAnsi="宋体"/>
          <w:szCs w:val="28"/>
          <w:lang w:eastAsia="zh-CN"/>
        </w:rPr>
        <w:t>、</w:t>
      </w:r>
      <w:r>
        <w:rPr>
          <w:rFonts w:ascii="宋体" w:hAnsi="宋体"/>
          <w:szCs w:val="28"/>
        </w:rPr>
        <w:t>《建筑学院硕士研究生中期检查规定》开展工作。</w:t>
      </w:r>
    </w:p>
    <w:p w14:paraId="51EF2E09">
      <w:pPr>
        <w:spacing w:line="360" w:lineRule="auto"/>
        <w:ind w:firstLine="560" w:firstLineChars="200"/>
        <w:rPr>
          <w:rFonts w:ascii="宋体" w:hAnsi="宋体"/>
          <w:szCs w:val="28"/>
        </w:rPr>
      </w:pPr>
      <w:r>
        <w:rPr>
          <w:rFonts w:hint="eastAsia" w:ascii="宋体" w:hAnsi="宋体"/>
          <w:szCs w:val="28"/>
        </w:rPr>
        <w:t>③</w:t>
      </w:r>
      <w:r>
        <w:rPr>
          <w:rFonts w:ascii="宋体" w:hAnsi="宋体"/>
          <w:szCs w:val="28"/>
        </w:rPr>
        <w:t>预答辩</w:t>
      </w:r>
    </w:p>
    <w:p w14:paraId="16EBC51F">
      <w:pPr>
        <w:spacing w:line="360" w:lineRule="auto"/>
        <w:ind w:firstLine="560" w:firstLineChars="200"/>
        <w:rPr>
          <w:rFonts w:ascii="宋体" w:hAnsi="宋体"/>
          <w:szCs w:val="28"/>
        </w:rPr>
      </w:pPr>
      <w:r>
        <w:rPr>
          <w:rFonts w:ascii="宋体" w:hAnsi="宋体"/>
          <w:szCs w:val="28"/>
        </w:rPr>
        <w:t>论文预答辩，采取评阅、答辩的形式，并依据《建筑学院硕士研究生学位论文答辩工作规定》开展工作。</w:t>
      </w:r>
    </w:p>
    <w:p w14:paraId="787F5F3F">
      <w:pPr>
        <w:spacing w:line="360" w:lineRule="auto"/>
        <w:ind w:firstLine="560" w:firstLineChars="200"/>
        <w:rPr>
          <w:rFonts w:ascii="宋体" w:hAnsi="宋体"/>
          <w:szCs w:val="28"/>
        </w:rPr>
      </w:pPr>
      <w:r>
        <w:rPr>
          <w:rFonts w:hint="eastAsia" w:ascii="宋体" w:hAnsi="宋体"/>
          <w:szCs w:val="28"/>
        </w:rPr>
        <w:t>④</w:t>
      </w:r>
      <w:r>
        <w:rPr>
          <w:rFonts w:ascii="宋体" w:hAnsi="宋体"/>
          <w:szCs w:val="28"/>
        </w:rPr>
        <w:t>答辩</w:t>
      </w:r>
    </w:p>
    <w:p w14:paraId="5973D3E9">
      <w:pPr>
        <w:spacing w:line="360" w:lineRule="auto"/>
        <w:ind w:firstLine="560" w:firstLineChars="200"/>
        <w:rPr>
          <w:rFonts w:ascii="宋体" w:hAnsi="宋体"/>
          <w:szCs w:val="28"/>
        </w:rPr>
      </w:pPr>
      <w:r>
        <w:rPr>
          <w:rFonts w:ascii="宋体" w:hAnsi="宋体"/>
          <w:szCs w:val="28"/>
        </w:rPr>
        <w:t>论文答辩须通过答辩资格审查，采取盲审、评阅、答辩的形式，并依据《天津城建大学硕士研究生学位论文答辩工作规定》</w:t>
      </w:r>
      <w:r>
        <w:rPr>
          <w:rFonts w:hint="eastAsia" w:ascii="宋体" w:hAnsi="宋体"/>
          <w:szCs w:val="28"/>
          <w:lang w:eastAsia="zh-CN"/>
        </w:rPr>
        <w:t>、</w:t>
      </w:r>
      <w:r>
        <w:rPr>
          <w:rFonts w:ascii="宋体" w:hAnsi="宋体"/>
          <w:szCs w:val="28"/>
        </w:rPr>
        <w:t>《天津城建大学硕士研究生学位论文学术不端行为检测暂行规定》和《建筑学院硕士研究生学位论文答辩工作规定》等文件开展工作。</w:t>
      </w:r>
    </w:p>
    <w:p w14:paraId="44408830">
      <w:pPr>
        <w:pStyle w:val="2"/>
      </w:pPr>
      <w:r>
        <w:rPr>
          <w:rFonts w:hint="eastAsia"/>
        </w:rPr>
        <w:t>3</w:t>
      </w:r>
      <w:r>
        <w:t>.9学风建设</w:t>
      </w:r>
    </w:p>
    <w:p w14:paraId="28755B9B">
      <w:pPr>
        <w:spacing w:line="360" w:lineRule="auto"/>
        <w:ind w:firstLine="560" w:firstLineChars="200"/>
        <w:rPr>
          <w:rFonts w:ascii="宋体" w:hAnsi="宋体"/>
          <w:szCs w:val="28"/>
        </w:rPr>
      </w:pPr>
      <w:r>
        <w:rPr>
          <w:rFonts w:hint="eastAsia" w:ascii="宋体" w:hAnsi="宋体"/>
          <w:szCs w:val="28"/>
        </w:rPr>
        <w:t>长期以来，学校把科学道德和学术规范建设融入教学、科研、管理、服务之中，制定了《天津城建大学关于进一步加强和改进研究生思想政治教育工作的实施意见》</w:t>
      </w:r>
      <w:r>
        <w:rPr>
          <w:rFonts w:hint="eastAsia" w:ascii="宋体" w:hAnsi="宋体"/>
          <w:szCs w:val="28"/>
          <w:lang w:eastAsia="zh-CN"/>
        </w:rPr>
        <w:t>、</w:t>
      </w:r>
      <w:r>
        <w:rPr>
          <w:rFonts w:hint="eastAsia" w:ascii="宋体" w:hAnsi="宋体"/>
          <w:szCs w:val="28"/>
        </w:rPr>
        <w:t>《天津城建大学预防与处理学术不端行为实施细则》等相关管理文件</w:t>
      </w:r>
      <w:r>
        <w:rPr>
          <w:rFonts w:ascii="宋体" w:hAnsi="宋体"/>
          <w:szCs w:val="28"/>
        </w:rPr>
        <w:t>，明确以思想道德和行为养成教育为基础，</w:t>
      </w:r>
      <w:r>
        <w:rPr>
          <w:rFonts w:hint="eastAsia" w:ascii="宋体" w:hAnsi="宋体"/>
          <w:szCs w:val="28"/>
        </w:rPr>
        <w:t>进一步推进我校学术道德和学风建设，强化学术诚信和学术自律意识，正确引导学术规范行为，促进学术繁荣。</w:t>
      </w:r>
    </w:p>
    <w:p w14:paraId="29B3799B">
      <w:pPr>
        <w:spacing w:line="360" w:lineRule="auto"/>
        <w:ind w:firstLine="560" w:firstLineChars="200"/>
        <w:rPr>
          <w:rFonts w:ascii="宋体" w:hAnsi="宋体"/>
          <w:szCs w:val="28"/>
        </w:rPr>
      </w:pPr>
      <w:r>
        <w:rPr>
          <w:rFonts w:hint="eastAsia" w:ascii="宋体" w:hAnsi="宋体"/>
          <w:szCs w:val="28"/>
        </w:rPr>
        <w:t>本学位点组织开展内容丰富、形式多样的研究生教育和实践活动，促进研究生身心健康成长、全面发展，多年来未出现学术不端行为。以科学道德和学风建设为主题开展思想政治教育工作，通过新生入学教育等加强学术道德教育。积极组织开展研究生创新实践活动，努力营造争先创优的良好风气。大力表彰、宣传先进典型，积极发挥他们的激励示范作用，在研究生中营造争先创优的良好氛围。</w:t>
      </w:r>
    </w:p>
    <w:p w14:paraId="528A79EA">
      <w:pPr>
        <w:pStyle w:val="2"/>
        <w:rPr>
          <w:rFonts w:cs="Arial"/>
          <w:kern w:val="0"/>
          <w:szCs w:val="28"/>
        </w:rPr>
      </w:pPr>
      <w:r>
        <w:rPr>
          <w:rStyle w:val="19"/>
          <w:rFonts w:hint="eastAsia"/>
          <w:b/>
          <w:bCs w:val="0"/>
        </w:rPr>
        <w:t>3</w:t>
      </w:r>
      <w:r>
        <w:rPr>
          <w:rStyle w:val="19"/>
          <w:b/>
          <w:bCs w:val="0"/>
        </w:rPr>
        <w:t>.10</w:t>
      </w:r>
      <w:r>
        <w:rPr>
          <w:rStyle w:val="19"/>
          <w:rFonts w:hint="eastAsia"/>
          <w:b/>
          <w:bCs w:val="0"/>
        </w:rPr>
        <w:t>管理服务</w:t>
      </w:r>
    </w:p>
    <w:p w14:paraId="724270A3">
      <w:pPr>
        <w:spacing w:line="360" w:lineRule="auto"/>
        <w:ind w:firstLine="560" w:firstLineChars="200"/>
        <w:rPr>
          <w:rFonts w:ascii="宋体" w:hAnsi="宋体"/>
          <w:szCs w:val="28"/>
        </w:rPr>
      </w:pPr>
      <w:r>
        <w:rPr>
          <w:rFonts w:hint="eastAsia" w:ascii="宋体" w:hAnsi="宋体"/>
          <w:szCs w:val="28"/>
        </w:rPr>
        <w:t>建筑学院现有教辅人员</w:t>
      </w:r>
      <w:r>
        <w:rPr>
          <w:rFonts w:ascii="宋体" w:hAnsi="宋体"/>
          <w:szCs w:val="28"/>
        </w:rPr>
        <w:t>9人，从事党务、行政、教务和学生的日常管理工作。教辅人员中具有硕士以上学位8人，高级职称3人。职工队伍素质良好、能力较强，工作尽职尽责，在学生成长成才过程中发挥了重要作用。</w:t>
      </w:r>
    </w:p>
    <w:p w14:paraId="58982EC2">
      <w:pPr>
        <w:spacing w:line="360" w:lineRule="auto"/>
        <w:ind w:firstLine="560" w:firstLineChars="200"/>
        <w:rPr>
          <w:rFonts w:ascii="宋体" w:hAnsi="宋体"/>
          <w:szCs w:val="28"/>
        </w:rPr>
      </w:pPr>
      <w:r>
        <w:rPr>
          <w:rFonts w:hint="eastAsia" w:ascii="宋体" w:hAnsi="宋体"/>
          <w:szCs w:val="28"/>
        </w:rPr>
        <w:t>为保证上述教学安排的有效实施和人才培养质量，城乡规划系先后制定了一系列教学管理文件，如《天津城建大学硕士研究生培养管理规定》</w:t>
      </w:r>
      <w:r>
        <w:rPr>
          <w:rFonts w:hint="eastAsia" w:ascii="宋体" w:hAnsi="宋体"/>
          <w:szCs w:val="28"/>
          <w:lang w:eastAsia="zh-CN"/>
        </w:rPr>
        <w:t>、</w:t>
      </w:r>
      <w:r>
        <w:rPr>
          <w:rFonts w:hint="eastAsia" w:ascii="宋体" w:hAnsi="宋体"/>
          <w:szCs w:val="28"/>
        </w:rPr>
        <w:t>《建筑学院硕士研究生培养管理办法》</w:t>
      </w:r>
      <w:r>
        <w:rPr>
          <w:rFonts w:hint="eastAsia" w:ascii="宋体" w:hAnsi="宋体"/>
          <w:szCs w:val="28"/>
          <w:lang w:eastAsia="zh-CN"/>
        </w:rPr>
        <w:t>、</w:t>
      </w:r>
      <w:r>
        <w:rPr>
          <w:rFonts w:hint="eastAsia" w:ascii="宋体" w:hAnsi="宋体"/>
          <w:szCs w:val="28"/>
        </w:rPr>
        <w:t>《天津城建大学硕士研究生课程管理规定》</w:t>
      </w:r>
      <w:r>
        <w:rPr>
          <w:rFonts w:hint="eastAsia" w:ascii="宋体" w:hAnsi="宋体"/>
          <w:szCs w:val="28"/>
          <w:lang w:eastAsia="zh-CN"/>
        </w:rPr>
        <w:t>、</w:t>
      </w:r>
      <w:r>
        <w:rPr>
          <w:rFonts w:hint="eastAsia" w:ascii="宋体" w:hAnsi="宋体"/>
          <w:szCs w:val="28"/>
        </w:rPr>
        <w:t>《建筑学院硕士研究生开题报告资格审查与程序的相关规定》</w:t>
      </w:r>
      <w:r>
        <w:rPr>
          <w:rFonts w:hint="eastAsia" w:ascii="宋体" w:hAnsi="宋体"/>
          <w:szCs w:val="28"/>
          <w:lang w:eastAsia="zh-CN"/>
        </w:rPr>
        <w:t>、</w:t>
      </w:r>
      <w:r>
        <w:rPr>
          <w:rFonts w:hint="eastAsia" w:ascii="宋体" w:hAnsi="宋体"/>
          <w:szCs w:val="28"/>
        </w:rPr>
        <w:t>《建筑学院硕士研究生中期检查规定》</w:t>
      </w:r>
      <w:r>
        <w:rPr>
          <w:rFonts w:hint="eastAsia" w:ascii="宋体" w:hAnsi="宋体"/>
          <w:szCs w:val="28"/>
          <w:lang w:eastAsia="zh-CN"/>
        </w:rPr>
        <w:t>、</w:t>
      </w:r>
      <w:r>
        <w:rPr>
          <w:rFonts w:hint="eastAsia" w:ascii="宋体" w:hAnsi="宋体"/>
          <w:szCs w:val="28"/>
        </w:rPr>
        <w:t>《建筑学院硕士研究生社会实践课程管理办法》以及《天津城建大学硕士研究生学位授予管理办法》</w:t>
      </w:r>
      <w:r>
        <w:rPr>
          <w:rFonts w:hint="eastAsia" w:ascii="宋体" w:hAnsi="宋体"/>
          <w:szCs w:val="28"/>
          <w:lang w:eastAsia="zh-CN"/>
        </w:rPr>
        <w:t>、</w:t>
      </w:r>
      <w:r>
        <w:rPr>
          <w:rFonts w:hint="eastAsia" w:ascii="宋体" w:hAnsi="宋体"/>
          <w:szCs w:val="28"/>
        </w:rPr>
        <w:t>《建筑学院硕士研究生学位论文答辩工作规定》等。</w:t>
      </w:r>
    </w:p>
    <w:p w14:paraId="61BAD088">
      <w:pPr>
        <w:spacing w:line="360" w:lineRule="auto"/>
        <w:ind w:firstLine="560" w:firstLineChars="200"/>
        <w:rPr>
          <w:rFonts w:ascii="宋体" w:hAnsi="宋体"/>
          <w:szCs w:val="28"/>
        </w:rPr>
      </w:pPr>
      <w:r>
        <w:rPr>
          <w:rFonts w:hint="eastAsia" w:ascii="宋体" w:hAnsi="宋体"/>
          <w:szCs w:val="28"/>
        </w:rPr>
        <w:t>严格落实相关办学思路和教学计划，注重研究生培养的过程性管控，不断完善研究生教学管理体制机制建设。针对研究生培养过程中的具体问题，开展系统性分析和专题研究，完善解决方案和实施路径。努力探索复试、预答辩、论文送审等研究生培养不同环节、阶段管理机制的创新，确保培养方案得到良好实施。</w:t>
      </w:r>
    </w:p>
    <w:p w14:paraId="7D302E3E">
      <w:pPr>
        <w:pStyle w:val="2"/>
      </w:pPr>
      <w:r>
        <w:rPr>
          <w:rFonts w:hint="eastAsia"/>
        </w:rPr>
        <w:t>3</w:t>
      </w:r>
      <w:r>
        <w:t>.11</w:t>
      </w:r>
      <w:r>
        <w:rPr>
          <w:rFonts w:hint="eastAsia"/>
        </w:rPr>
        <w:t>就业发展</w:t>
      </w:r>
    </w:p>
    <w:p w14:paraId="3E1B9FEE">
      <w:pPr>
        <w:widowControl/>
        <w:shd w:val="clear" w:color="auto" w:fill="FFFFFF"/>
        <w:ind w:firstLine="560" w:firstLineChars="200"/>
        <w:jc w:val="left"/>
        <w:rPr>
          <w:rFonts w:ascii="宋体" w:hAnsi="宋体" w:cs="宋体"/>
        </w:rPr>
      </w:pPr>
      <w:r>
        <w:rPr>
          <w:rFonts w:hint="eastAsia" w:ascii="宋体" w:hAnsi="宋体" w:cs="宋体"/>
        </w:rPr>
        <w:t>2021年毕业研究生1</w:t>
      </w:r>
      <w:r>
        <w:rPr>
          <w:rFonts w:ascii="宋体" w:hAnsi="宋体" w:cs="宋体"/>
        </w:rPr>
        <w:t>1</w:t>
      </w:r>
      <w:r>
        <w:rPr>
          <w:rFonts w:hint="eastAsia" w:ascii="宋体" w:hAnsi="宋体" w:cs="宋体"/>
        </w:rPr>
        <w:t>名，获得学位授予11名，就业率达到100%，且就业质量较好，多为行政、事业或国企单位。高就业率一方面反映出社会对学校人才培养的认同，同时也体现了本学位点人才培养与社会需求的紧密关联。</w:t>
      </w:r>
      <w:r>
        <w:rPr>
          <w:rFonts w:ascii="宋体" w:hAnsi="宋体"/>
        </w:rPr>
        <w:t>2021年本学位点学生就业情况见表</w:t>
      </w:r>
      <w:r>
        <w:rPr>
          <w:rFonts w:hint="eastAsia" w:ascii="宋体" w:hAnsi="宋体"/>
        </w:rPr>
        <w:t>3-</w:t>
      </w:r>
      <w:r>
        <w:rPr>
          <w:rFonts w:ascii="宋体" w:hAnsi="宋体"/>
        </w:rPr>
        <w:t>3、表</w:t>
      </w:r>
      <w:r>
        <w:rPr>
          <w:rFonts w:hint="eastAsia" w:ascii="宋体" w:hAnsi="宋体"/>
        </w:rPr>
        <w:t>3-</w:t>
      </w:r>
      <w:r>
        <w:rPr>
          <w:rFonts w:ascii="宋体" w:hAnsi="宋体"/>
        </w:rPr>
        <w:t>4。</w:t>
      </w:r>
    </w:p>
    <w:p w14:paraId="7DE90A39">
      <w:pPr>
        <w:autoSpaceDE w:val="0"/>
        <w:autoSpaceDN w:val="0"/>
        <w:spacing w:line="360" w:lineRule="auto"/>
        <w:ind w:firstLine="420" w:firstLineChars="200"/>
        <w:jc w:val="center"/>
        <w:rPr>
          <w:rFonts w:ascii="宋体" w:hAnsi="宋体" w:cs="宋体"/>
          <w:sz w:val="21"/>
          <w:szCs w:val="21"/>
        </w:rPr>
      </w:pPr>
      <w:r>
        <w:rPr>
          <w:rFonts w:hint="eastAsia" w:ascii="宋体" w:hAnsi="宋体" w:cs="宋体"/>
          <w:sz w:val="21"/>
          <w:szCs w:val="21"/>
        </w:rPr>
        <w:t>表</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 xml:space="preserve"> 签约单位类型分布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4"/>
        <w:gridCol w:w="774"/>
        <w:gridCol w:w="774"/>
        <w:gridCol w:w="774"/>
        <w:gridCol w:w="774"/>
        <w:gridCol w:w="774"/>
        <w:gridCol w:w="774"/>
        <w:gridCol w:w="782"/>
      </w:tblGrid>
      <w:tr w14:paraId="340D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4" w:type="dxa"/>
            <w:vAlign w:val="center"/>
          </w:tcPr>
          <w:p w14:paraId="7DC0C9D0">
            <w:pPr>
              <w:autoSpaceDE w:val="0"/>
              <w:autoSpaceDN w:val="0"/>
              <w:jc w:val="center"/>
              <w:rPr>
                <w:rFonts w:ascii="宋体" w:hAnsi="宋体" w:cs="宋体"/>
                <w:b/>
                <w:sz w:val="21"/>
                <w:szCs w:val="21"/>
              </w:rPr>
            </w:pPr>
            <w:r>
              <w:rPr>
                <w:rFonts w:hint="eastAsia" w:ascii="宋体" w:hAnsi="宋体" w:cs="宋体"/>
                <w:b/>
                <w:sz w:val="21"/>
                <w:szCs w:val="21"/>
              </w:rPr>
              <w:t>单位类别</w:t>
            </w:r>
          </w:p>
        </w:tc>
        <w:tc>
          <w:tcPr>
            <w:tcW w:w="774" w:type="dxa"/>
            <w:vAlign w:val="center"/>
          </w:tcPr>
          <w:p w14:paraId="048E1FA0">
            <w:pPr>
              <w:autoSpaceDE w:val="0"/>
              <w:autoSpaceDN w:val="0"/>
              <w:jc w:val="center"/>
              <w:rPr>
                <w:rFonts w:ascii="宋体" w:hAnsi="宋体" w:cs="宋体"/>
                <w:b/>
                <w:sz w:val="21"/>
                <w:szCs w:val="21"/>
              </w:rPr>
            </w:pPr>
            <w:r>
              <w:rPr>
                <w:rFonts w:hint="eastAsia" w:ascii="宋体" w:hAnsi="宋体" w:cs="宋体"/>
                <w:b/>
                <w:sz w:val="21"/>
                <w:szCs w:val="21"/>
              </w:rPr>
              <w:t>党政</w:t>
            </w:r>
          </w:p>
          <w:p w14:paraId="3E8AC823">
            <w:pPr>
              <w:autoSpaceDE w:val="0"/>
              <w:autoSpaceDN w:val="0"/>
              <w:jc w:val="center"/>
              <w:rPr>
                <w:rFonts w:ascii="宋体" w:hAnsi="宋体" w:cs="宋体"/>
                <w:b/>
                <w:sz w:val="21"/>
                <w:szCs w:val="21"/>
              </w:rPr>
            </w:pPr>
            <w:r>
              <w:rPr>
                <w:rFonts w:hint="eastAsia" w:ascii="宋体" w:hAnsi="宋体" w:cs="宋体"/>
                <w:b/>
                <w:sz w:val="21"/>
                <w:szCs w:val="21"/>
              </w:rPr>
              <w:t>机关</w:t>
            </w:r>
          </w:p>
        </w:tc>
        <w:tc>
          <w:tcPr>
            <w:tcW w:w="774" w:type="dxa"/>
            <w:vAlign w:val="center"/>
          </w:tcPr>
          <w:p w14:paraId="043224B2">
            <w:pPr>
              <w:autoSpaceDE w:val="0"/>
              <w:autoSpaceDN w:val="0"/>
              <w:jc w:val="center"/>
              <w:rPr>
                <w:rFonts w:ascii="宋体" w:hAnsi="宋体" w:cs="宋体"/>
                <w:b/>
                <w:sz w:val="21"/>
                <w:szCs w:val="21"/>
              </w:rPr>
            </w:pPr>
            <w:r>
              <w:rPr>
                <w:rFonts w:hint="eastAsia" w:ascii="宋体" w:hAnsi="宋体" w:cs="宋体"/>
                <w:b/>
                <w:sz w:val="21"/>
                <w:szCs w:val="21"/>
              </w:rPr>
              <w:t>高等教</w:t>
            </w:r>
          </w:p>
          <w:p w14:paraId="416418BC">
            <w:pPr>
              <w:autoSpaceDE w:val="0"/>
              <w:autoSpaceDN w:val="0"/>
              <w:jc w:val="center"/>
              <w:rPr>
                <w:rFonts w:ascii="宋体" w:hAnsi="宋体" w:cs="宋体"/>
                <w:b/>
                <w:sz w:val="21"/>
                <w:szCs w:val="21"/>
              </w:rPr>
            </w:pPr>
            <w:r>
              <w:rPr>
                <w:rFonts w:hint="eastAsia" w:ascii="宋体" w:hAnsi="宋体" w:cs="宋体"/>
                <w:b/>
                <w:sz w:val="21"/>
                <w:szCs w:val="21"/>
              </w:rPr>
              <w:t>育单位</w:t>
            </w:r>
          </w:p>
        </w:tc>
        <w:tc>
          <w:tcPr>
            <w:tcW w:w="774" w:type="dxa"/>
            <w:vAlign w:val="center"/>
          </w:tcPr>
          <w:p w14:paraId="2194A3C0">
            <w:pPr>
              <w:autoSpaceDE w:val="0"/>
              <w:autoSpaceDN w:val="0"/>
              <w:jc w:val="center"/>
              <w:rPr>
                <w:rFonts w:ascii="宋体" w:hAnsi="宋体" w:cs="宋体"/>
                <w:b/>
                <w:sz w:val="21"/>
                <w:szCs w:val="21"/>
              </w:rPr>
            </w:pPr>
            <w:r>
              <w:rPr>
                <w:rFonts w:hint="eastAsia" w:ascii="宋体" w:hAnsi="宋体" w:cs="宋体"/>
                <w:b/>
                <w:sz w:val="21"/>
                <w:szCs w:val="21"/>
              </w:rPr>
              <w:t>中初等教育单位</w:t>
            </w:r>
          </w:p>
        </w:tc>
        <w:tc>
          <w:tcPr>
            <w:tcW w:w="774" w:type="dxa"/>
            <w:vAlign w:val="center"/>
          </w:tcPr>
          <w:p w14:paraId="085C8649">
            <w:pPr>
              <w:autoSpaceDE w:val="0"/>
              <w:autoSpaceDN w:val="0"/>
              <w:jc w:val="center"/>
              <w:rPr>
                <w:rFonts w:ascii="宋体" w:hAnsi="宋体" w:cs="宋体"/>
                <w:b/>
                <w:sz w:val="21"/>
                <w:szCs w:val="21"/>
              </w:rPr>
            </w:pPr>
            <w:r>
              <w:rPr>
                <w:rFonts w:hint="eastAsia" w:ascii="宋体" w:hAnsi="宋体" w:cs="宋体"/>
                <w:b/>
                <w:sz w:val="21"/>
                <w:szCs w:val="21"/>
              </w:rPr>
              <w:t>科研设计单位</w:t>
            </w:r>
          </w:p>
        </w:tc>
        <w:tc>
          <w:tcPr>
            <w:tcW w:w="774" w:type="dxa"/>
            <w:vAlign w:val="center"/>
          </w:tcPr>
          <w:p w14:paraId="7FB0189D">
            <w:pPr>
              <w:autoSpaceDE w:val="0"/>
              <w:autoSpaceDN w:val="0"/>
              <w:jc w:val="center"/>
              <w:rPr>
                <w:rFonts w:ascii="宋体" w:hAnsi="宋体" w:cs="宋体"/>
                <w:b/>
                <w:sz w:val="21"/>
                <w:szCs w:val="21"/>
              </w:rPr>
            </w:pPr>
            <w:r>
              <w:rPr>
                <w:rFonts w:hint="eastAsia" w:ascii="宋体" w:hAnsi="宋体" w:cs="宋体"/>
                <w:b/>
                <w:sz w:val="21"/>
                <w:szCs w:val="21"/>
              </w:rPr>
              <w:t>医疗卫生单位</w:t>
            </w:r>
          </w:p>
        </w:tc>
        <w:tc>
          <w:tcPr>
            <w:tcW w:w="774" w:type="dxa"/>
            <w:vAlign w:val="center"/>
          </w:tcPr>
          <w:p w14:paraId="781B19CE">
            <w:pPr>
              <w:autoSpaceDE w:val="0"/>
              <w:autoSpaceDN w:val="0"/>
              <w:jc w:val="center"/>
              <w:rPr>
                <w:rFonts w:ascii="宋体" w:hAnsi="宋体" w:cs="宋体"/>
                <w:b/>
                <w:sz w:val="21"/>
                <w:szCs w:val="21"/>
              </w:rPr>
            </w:pPr>
            <w:r>
              <w:rPr>
                <w:rFonts w:hint="eastAsia" w:ascii="宋体" w:hAnsi="宋体" w:cs="宋体"/>
                <w:b/>
                <w:sz w:val="21"/>
                <w:szCs w:val="21"/>
              </w:rPr>
              <w:t>其他事业单位</w:t>
            </w:r>
          </w:p>
        </w:tc>
        <w:tc>
          <w:tcPr>
            <w:tcW w:w="774" w:type="dxa"/>
            <w:vAlign w:val="center"/>
          </w:tcPr>
          <w:p w14:paraId="2E0BC392">
            <w:pPr>
              <w:autoSpaceDE w:val="0"/>
              <w:autoSpaceDN w:val="0"/>
              <w:jc w:val="center"/>
              <w:rPr>
                <w:rFonts w:ascii="宋体" w:hAnsi="宋体" w:cs="宋体"/>
                <w:b/>
                <w:sz w:val="21"/>
                <w:szCs w:val="21"/>
              </w:rPr>
            </w:pPr>
            <w:r>
              <w:rPr>
                <w:rFonts w:hint="eastAsia" w:ascii="宋体" w:hAnsi="宋体" w:cs="宋体"/>
                <w:b/>
                <w:sz w:val="21"/>
                <w:szCs w:val="21"/>
              </w:rPr>
              <w:t>国有</w:t>
            </w:r>
          </w:p>
          <w:p w14:paraId="6046D3A2">
            <w:pPr>
              <w:autoSpaceDE w:val="0"/>
              <w:autoSpaceDN w:val="0"/>
              <w:jc w:val="center"/>
              <w:rPr>
                <w:rFonts w:ascii="宋体" w:hAnsi="宋体" w:cs="宋体"/>
                <w:b/>
                <w:sz w:val="21"/>
                <w:szCs w:val="21"/>
              </w:rPr>
            </w:pPr>
            <w:r>
              <w:rPr>
                <w:rFonts w:hint="eastAsia" w:ascii="宋体" w:hAnsi="宋体" w:cs="宋体"/>
                <w:b/>
                <w:sz w:val="21"/>
                <w:szCs w:val="21"/>
              </w:rPr>
              <w:t>企业</w:t>
            </w:r>
          </w:p>
        </w:tc>
        <w:tc>
          <w:tcPr>
            <w:tcW w:w="774" w:type="dxa"/>
            <w:vAlign w:val="center"/>
          </w:tcPr>
          <w:p w14:paraId="0B621FF3">
            <w:pPr>
              <w:autoSpaceDE w:val="0"/>
              <w:autoSpaceDN w:val="0"/>
              <w:jc w:val="center"/>
              <w:rPr>
                <w:rFonts w:ascii="宋体" w:hAnsi="宋体" w:cs="宋体"/>
                <w:b/>
                <w:sz w:val="21"/>
                <w:szCs w:val="21"/>
              </w:rPr>
            </w:pPr>
            <w:r>
              <w:rPr>
                <w:rFonts w:hint="eastAsia" w:ascii="宋体" w:hAnsi="宋体" w:cs="宋体"/>
                <w:b/>
                <w:sz w:val="21"/>
                <w:szCs w:val="21"/>
              </w:rPr>
              <w:t>民营</w:t>
            </w:r>
          </w:p>
          <w:p w14:paraId="2F0E58D2">
            <w:pPr>
              <w:autoSpaceDE w:val="0"/>
              <w:autoSpaceDN w:val="0"/>
              <w:jc w:val="center"/>
              <w:rPr>
                <w:rFonts w:ascii="宋体" w:hAnsi="宋体" w:cs="宋体"/>
                <w:b/>
                <w:sz w:val="21"/>
                <w:szCs w:val="21"/>
              </w:rPr>
            </w:pPr>
            <w:r>
              <w:rPr>
                <w:rFonts w:hint="eastAsia" w:ascii="宋体" w:hAnsi="宋体" w:cs="宋体"/>
                <w:b/>
                <w:sz w:val="21"/>
                <w:szCs w:val="21"/>
              </w:rPr>
              <w:t>企业</w:t>
            </w:r>
          </w:p>
        </w:tc>
        <w:tc>
          <w:tcPr>
            <w:tcW w:w="774" w:type="dxa"/>
            <w:vAlign w:val="center"/>
          </w:tcPr>
          <w:p w14:paraId="02CFC730">
            <w:pPr>
              <w:autoSpaceDE w:val="0"/>
              <w:autoSpaceDN w:val="0"/>
              <w:jc w:val="center"/>
              <w:rPr>
                <w:rFonts w:ascii="宋体" w:hAnsi="宋体" w:cs="宋体"/>
                <w:b/>
                <w:sz w:val="21"/>
                <w:szCs w:val="21"/>
              </w:rPr>
            </w:pPr>
            <w:r>
              <w:rPr>
                <w:rFonts w:hint="eastAsia" w:ascii="宋体" w:hAnsi="宋体" w:cs="宋体"/>
                <w:b/>
                <w:sz w:val="21"/>
                <w:szCs w:val="21"/>
              </w:rPr>
              <w:t>三资企业</w:t>
            </w:r>
          </w:p>
        </w:tc>
        <w:tc>
          <w:tcPr>
            <w:tcW w:w="782" w:type="dxa"/>
            <w:vAlign w:val="center"/>
          </w:tcPr>
          <w:p w14:paraId="6A47B9FB">
            <w:pPr>
              <w:autoSpaceDE w:val="0"/>
              <w:autoSpaceDN w:val="0"/>
              <w:jc w:val="center"/>
              <w:rPr>
                <w:rFonts w:ascii="宋体" w:hAnsi="宋体" w:cs="宋体"/>
                <w:b/>
                <w:sz w:val="21"/>
                <w:szCs w:val="21"/>
              </w:rPr>
            </w:pPr>
            <w:r>
              <w:rPr>
                <w:rFonts w:hint="eastAsia" w:ascii="宋体" w:hAnsi="宋体" w:cs="宋体"/>
                <w:b/>
                <w:sz w:val="21"/>
                <w:szCs w:val="21"/>
              </w:rPr>
              <w:t>其他</w:t>
            </w:r>
          </w:p>
        </w:tc>
      </w:tr>
      <w:tr w14:paraId="6E35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4" w:type="dxa"/>
            <w:vAlign w:val="center"/>
          </w:tcPr>
          <w:p w14:paraId="3B32D4F0">
            <w:pPr>
              <w:autoSpaceDE w:val="0"/>
              <w:autoSpaceDN w:val="0"/>
              <w:jc w:val="center"/>
              <w:rPr>
                <w:rFonts w:ascii="宋体" w:hAnsi="宋体" w:cs="宋体"/>
                <w:sz w:val="21"/>
                <w:szCs w:val="21"/>
              </w:rPr>
            </w:pPr>
            <w:r>
              <w:rPr>
                <w:rFonts w:hint="eastAsia" w:ascii="宋体" w:hAnsi="宋体" w:cs="宋体"/>
                <w:sz w:val="21"/>
                <w:szCs w:val="21"/>
              </w:rPr>
              <w:t>硕士签约</w:t>
            </w:r>
          </w:p>
        </w:tc>
        <w:tc>
          <w:tcPr>
            <w:tcW w:w="774" w:type="dxa"/>
            <w:vAlign w:val="center"/>
          </w:tcPr>
          <w:p w14:paraId="3BE1FF49">
            <w:pPr>
              <w:autoSpaceDE w:val="0"/>
              <w:autoSpaceDN w:val="0"/>
              <w:jc w:val="center"/>
              <w:rPr>
                <w:rFonts w:ascii="宋体" w:hAnsi="宋体" w:cs="宋体"/>
                <w:sz w:val="21"/>
                <w:szCs w:val="21"/>
              </w:rPr>
            </w:pPr>
            <w:r>
              <w:rPr>
                <w:rFonts w:hint="eastAsia" w:ascii="宋体" w:hAnsi="宋体" w:cs="宋体"/>
                <w:sz w:val="21"/>
                <w:szCs w:val="21"/>
              </w:rPr>
              <w:t>1</w:t>
            </w:r>
          </w:p>
        </w:tc>
        <w:tc>
          <w:tcPr>
            <w:tcW w:w="774" w:type="dxa"/>
            <w:vAlign w:val="center"/>
          </w:tcPr>
          <w:p w14:paraId="4E6F7FEF">
            <w:pPr>
              <w:autoSpaceDE w:val="0"/>
              <w:autoSpaceDN w:val="0"/>
              <w:jc w:val="center"/>
              <w:rPr>
                <w:rFonts w:ascii="宋体" w:hAnsi="宋体" w:cs="宋体"/>
                <w:sz w:val="21"/>
                <w:szCs w:val="21"/>
              </w:rPr>
            </w:pPr>
            <w:r>
              <w:rPr>
                <w:rFonts w:hint="eastAsia" w:ascii="宋体" w:hAnsi="宋体" w:cs="宋体"/>
                <w:sz w:val="21"/>
                <w:szCs w:val="21"/>
              </w:rPr>
              <w:t>0</w:t>
            </w:r>
          </w:p>
        </w:tc>
        <w:tc>
          <w:tcPr>
            <w:tcW w:w="774" w:type="dxa"/>
            <w:vAlign w:val="center"/>
          </w:tcPr>
          <w:p w14:paraId="75B80006">
            <w:pPr>
              <w:autoSpaceDE w:val="0"/>
              <w:autoSpaceDN w:val="0"/>
              <w:jc w:val="center"/>
              <w:rPr>
                <w:rFonts w:ascii="宋体" w:hAnsi="宋体" w:cs="宋体"/>
                <w:sz w:val="21"/>
                <w:szCs w:val="21"/>
              </w:rPr>
            </w:pPr>
            <w:r>
              <w:rPr>
                <w:rFonts w:hint="eastAsia" w:ascii="宋体" w:hAnsi="宋体" w:cs="宋体"/>
                <w:sz w:val="21"/>
                <w:szCs w:val="21"/>
              </w:rPr>
              <w:t>0</w:t>
            </w:r>
          </w:p>
        </w:tc>
        <w:tc>
          <w:tcPr>
            <w:tcW w:w="774" w:type="dxa"/>
            <w:vAlign w:val="center"/>
          </w:tcPr>
          <w:p w14:paraId="13BF62CE">
            <w:pPr>
              <w:autoSpaceDE w:val="0"/>
              <w:autoSpaceDN w:val="0"/>
              <w:jc w:val="center"/>
              <w:rPr>
                <w:rFonts w:ascii="宋体" w:hAnsi="宋体" w:cs="宋体"/>
                <w:sz w:val="21"/>
                <w:szCs w:val="21"/>
              </w:rPr>
            </w:pPr>
            <w:r>
              <w:rPr>
                <w:rFonts w:hint="eastAsia" w:ascii="宋体" w:hAnsi="宋体" w:cs="宋体"/>
                <w:sz w:val="21"/>
                <w:szCs w:val="21"/>
              </w:rPr>
              <w:t>3</w:t>
            </w:r>
          </w:p>
        </w:tc>
        <w:tc>
          <w:tcPr>
            <w:tcW w:w="774" w:type="dxa"/>
            <w:vAlign w:val="center"/>
          </w:tcPr>
          <w:p w14:paraId="21180A81">
            <w:pPr>
              <w:autoSpaceDE w:val="0"/>
              <w:autoSpaceDN w:val="0"/>
              <w:jc w:val="center"/>
              <w:rPr>
                <w:rFonts w:ascii="宋体" w:hAnsi="宋体" w:cs="宋体"/>
                <w:sz w:val="21"/>
                <w:szCs w:val="21"/>
              </w:rPr>
            </w:pPr>
            <w:r>
              <w:rPr>
                <w:rFonts w:hint="eastAsia" w:ascii="宋体" w:hAnsi="宋体" w:cs="宋体"/>
                <w:sz w:val="21"/>
                <w:szCs w:val="21"/>
              </w:rPr>
              <w:t>0</w:t>
            </w:r>
          </w:p>
        </w:tc>
        <w:tc>
          <w:tcPr>
            <w:tcW w:w="774" w:type="dxa"/>
            <w:vAlign w:val="center"/>
          </w:tcPr>
          <w:p w14:paraId="55FAFEBD">
            <w:pPr>
              <w:autoSpaceDE w:val="0"/>
              <w:autoSpaceDN w:val="0"/>
              <w:jc w:val="center"/>
              <w:rPr>
                <w:rFonts w:ascii="宋体" w:hAnsi="宋体" w:cs="宋体"/>
                <w:sz w:val="21"/>
                <w:szCs w:val="21"/>
              </w:rPr>
            </w:pPr>
            <w:r>
              <w:rPr>
                <w:rFonts w:hint="eastAsia" w:ascii="宋体" w:hAnsi="宋体" w:cs="宋体"/>
                <w:sz w:val="21"/>
                <w:szCs w:val="21"/>
              </w:rPr>
              <w:t>3</w:t>
            </w:r>
          </w:p>
        </w:tc>
        <w:tc>
          <w:tcPr>
            <w:tcW w:w="774" w:type="dxa"/>
            <w:vAlign w:val="center"/>
          </w:tcPr>
          <w:p w14:paraId="5DF3B2FE">
            <w:pPr>
              <w:autoSpaceDE w:val="0"/>
              <w:autoSpaceDN w:val="0"/>
              <w:jc w:val="center"/>
              <w:rPr>
                <w:rFonts w:ascii="宋体" w:hAnsi="宋体" w:cs="宋体"/>
                <w:sz w:val="21"/>
                <w:szCs w:val="21"/>
              </w:rPr>
            </w:pPr>
            <w:r>
              <w:rPr>
                <w:rFonts w:hint="eastAsia" w:ascii="宋体" w:hAnsi="宋体" w:cs="宋体"/>
                <w:sz w:val="21"/>
                <w:szCs w:val="21"/>
              </w:rPr>
              <w:t>7</w:t>
            </w:r>
          </w:p>
        </w:tc>
        <w:tc>
          <w:tcPr>
            <w:tcW w:w="774" w:type="dxa"/>
            <w:vAlign w:val="center"/>
          </w:tcPr>
          <w:p w14:paraId="33C0DC5F">
            <w:pPr>
              <w:autoSpaceDE w:val="0"/>
              <w:autoSpaceDN w:val="0"/>
              <w:jc w:val="center"/>
              <w:rPr>
                <w:rFonts w:ascii="宋体" w:hAnsi="宋体" w:cs="宋体"/>
                <w:sz w:val="21"/>
                <w:szCs w:val="21"/>
              </w:rPr>
            </w:pPr>
            <w:r>
              <w:rPr>
                <w:rFonts w:hint="eastAsia" w:ascii="宋体" w:hAnsi="宋体" w:cs="宋体"/>
                <w:sz w:val="21"/>
                <w:szCs w:val="21"/>
              </w:rPr>
              <w:t>6</w:t>
            </w:r>
          </w:p>
        </w:tc>
        <w:tc>
          <w:tcPr>
            <w:tcW w:w="774" w:type="dxa"/>
            <w:vAlign w:val="center"/>
          </w:tcPr>
          <w:p w14:paraId="461ECCE5">
            <w:pPr>
              <w:autoSpaceDE w:val="0"/>
              <w:autoSpaceDN w:val="0"/>
              <w:jc w:val="center"/>
              <w:rPr>
                <w:rFonts w:ascii="宋体" w:hAnsi="宋体" w:cs="宋体"/>
                <w:sz w:val="21"/>
                <w:szCs w:val="21"/>
              </w:rPr>
            </w:pPr>
            <w:r>
              <w:rPr>
                <w:rFonts w:hint="eastAsia" w:ascii="宋体" w:hAnsi="宋体" w:cs="宋体"/>
                <w:sz w:val="21"/>
                <w:szCs w:val="21"/>
              </w:rPr>
              <w:t>0</w:t>
            </w:r>
          </w:p>
        </w:tc>
        <w:tc>
          <w:tcPr>
            <w:tcW w:w="782" w:type="dxa"/>
            <w:vAlign w:val="center"/>
          </w:tcPr>
          <w:p w14:paraId="1DB7E7C3">
            <w:pPr>
              <w:autoSpaceDE w:val="0"/>
              <w:autoSpaceDN w:val="0"/>
              <w:jc w:val="center"/>
              <w:rPr>
                <w:rFonts w:ascii="宋体" w:hAnsi="宋体" w:cs="宋体"/>
                <w:sz w:val="21"/>
                <w:szCs w:val="21"/>
              </w:rPr>
            </w:pPr>
            <w:r>
              <w:rPr>
                <w:rFonts w:hint="eastAsia" w:ascii="宋体" w:hAnsi="宋体" w:cs="宋体"/>
                <w:sz w:val="21"/>
                <w:szCs w:val="21"/>
              </w:rPr>
              <w:t>0</w:t>
            </w:r>
          </w:p>
        </w:tc>
      </w:tr>
    </w:tbl>
    <w:p w14:paraId="06B7BE29">
      <w:pPr>
        <w:autoSpaceDE w:val="0"/>
        <w:autoSpaceDN w:val="0"/>
        <w:spacing w:line="360" w:lineRule="auto"/>
        <w:ind w:firstLine="420" w:firstLineChars="200"/>
        <w:jc w:val="center"/>
        <w:rPr>
          <w:rFonts w:ascii="宋体" w:hAnsi="宋体" w:cs="宋体"/>
          <w:sz w:val="21"/>
          <w:szCs w:val="21"/>
        </w:rPr>
      </w:pPr>
      <w:r>
        <w:rPr>
          <w:rFonts w:hint="eastAsia" w:ascii="宋体" w:hAnsi="宋体" w:cs="宋体"/>
          <w:sz w:val="21"/>
          <w:szCs w:val="21"/>
        </w:rPr>
        <w:t>表</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 xml:space="preserve"> 签约单位地域分布</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316"/>
        <w:gridCol w:w="1744"/>
        <w:gridCol w:w="1599"/>
        <w:gridCol w:w="2182"/>
      </w:tblGrid>
      <w:tr w14:paraId="696E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7" w:type="pct"/>
            <w:vAlign w:val="center"/>
          </w:tcPr>
          <w:p w14:paraId="08212052">
            <w:pPr>
              <w:autoSpaceDE w:val="0"/>
              <w:autoSpaceDN w:val="0"/>
              <w:spacing w:line="360" w:lineRule="auto"/>
              <w:jc w:val="center"/>
              <w:rPr>
                <w:rFonts w:ascii="宋体" w:hAnsi="宋体" w:cs="宋体"/>
                <w:b/>
                <w:sz w:val="21"/>
                <w:szCs w:val="21"/>
              </w:rPr>
            </w:pPr>
            <w:r>
              <w:rPr>
                <w:rFonts w:hint="eastAsia" w:ascii="宋体" w:hAnsi="宋体" w:cs="宋体"/>
                <w:b/>
                <w:sz w:val="21"/>
                <w:szCs w:val="21"/>
              </w:rPr>
              <w:t>单位地域</w:t>
            </w:r>
          </w:p>
        </w:tc>
        <w:tc>
          <w:tcPr>
            <w:tcW w:w="772" w:type="pct"/>
            <w:vAlign w:val="center"/>
          </w:tcPr>
          <w:p w14:paraId="59D15462">
            <w:pPr>
              <w:autoSpaceDE w:val="0"/>
              <w:autoSpaceDN w:val="0"/>
              <w:spacing w:line="360" w:lineRule="auto"/>
              <w:jc w:val="center"/>
              <w:rPr>
                <w:rFonts w:ascii="宋体" w:hAnsi="宋体" w:cs="宋体"/>
                <w:b/>
                <w:sz w:val="21"/>
                <w:szCs w:val="21"/>
              </w:rPr>
            </w:pPr>
            <w:r>
              <w:rPr>
                <w:rFonts w:hint="eastAsia" w:ascii="宋体" w:hAnsi="宋体" w:cs="宋体"/>
                <w:b/>
                <w:sz w:val="21"/>
                <w:szCs w:val="21"/>
              </w:rPr>
              <w:t>本省</w:t>
            </w:r>
          </w:p>
        </w:tc>
        <w:tc>
          <w:tcPr>
            <w:tcW w:w="1023" w:type="pct"/>
            <w:vAlign w:val="center"/>
          </w:tcPr>
          <w:p w14:paraId="7F41B8D3">
            <w:pPr>
              <w:autoSpaceDE w:val="0"/>
              <w:autoSpaceDN w:val="0"/>
              <w:spacing w:line="360" w:lineRule="auto"/>
              <w:jc w:val="center"/>
              <w:rPr>
                <w:rFonts w:ascii="宋体" w:hAnsi="宋体" w:cs="宋体"/>
                <w:b/>
                <w:sz w:val="21"/>
                <w:szCs w:val="21"/>
              </w:rPr>
            </w:pPr>
            <w:bookmarkStart w:id="3" w:name="OLE_LINK13"/>
            <w:r>
              <w:rPr>
                <w:rFonts w:hint="eastAsia" w:ascii="宋体" w:hAnsi="宋体" w:cs="宋体"/>
                <w:b/>
                <w:sz w:val="21"/>
                <w:szCs w:val="21"/>
              </w:rPr>
              <w:t>东部地区</w:t>
            </w:r>
            <w:bookmarkEnd w:id="3"/>
          </w:p>
        </w:tc>
        <w:tc>
          <w:tcPr>
            <w:tcW w:w="938" w:type="pct"/>
            <w:vAlign w:val="center"/>
          </w:tcPr>
          <w:p w14:paraId="1F9B4A8F">
            <w:pPr>
              <w:autoSpaceDE w:val="0"/>
              <w:autoSpaceDN w:val="0"/>
              <w:spacing w:line="360" w:lineRule="auto"/>
              <w:jc w:val="center"/>
              <w:rPr>
                <w:rFonts w:ascii="宋体" w:hAnsi="宋体" w:cs="宋体"/>
                <w:b/>
                <w:sz w:val="21"/>
                <w:szCs w:val="21"/>
              </w:rPr>
            </w:pPr>
            <w:r>
              <w:rPr>
                <w:rFonts w:hint="eastAsia" w:ascii="宋体" w:hAnsi="宋体" w:cs="宋体"/>
                <w:b/>
                <w:sz w:val="21"/>
                <w:szCs w:val="21"/>
              </w:rPr>
              <w:t>中部地区</w:t>
            </w:r>
          </w:p>
        </w:tc>
        <w:tc>
          <w:tcPr>
            <w:tcW w:w="1280" w:type="pct"/>
            <w:vAlign w:val="center"/>
          </w:tcPr>
          <w:p w14:paraId="76EEBB91">
            <w:pPr>
              <w:autoSpaceDE w:val="0"/>
              <w:autoSpaceDN w:val="0"/>
              <w:spacing w:line="360" w:lineRule="auto"/>
              <w:jc w:val="center"/>
              <w:rPr>
                <w:rFonts w:ascii="宋体" w:hAnsi="宋体" w:cs="宋体"/>
                <w:b/>
                <w:sz w:val="21"/>
                <w:szCs w:val="21"/>
              </w:rPr>
            </w:pPr>
            <w:r>
              <w:rPr>
                <w:rFonts w:hint="eastAsia" w:ascii="宋体" w:hAnsi="宋体" w:cs="宋体"/>
                <w:b/>
                <w:sz w:val="21"/>
                <w:szCs w:val="21"/>
              </w:rPr>
              <w:t>西部地区</w:t>
            </w:r>
          </w:p>
        </w:tc>
      </w:tr>
      <w:tr w14:paraId="628A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7" w:type="pct"/>
            <w:vAlign w:val="center"/>
          </w:tcPr>
          <w:p w14:paraId="5ACF065C">
            <w:pPr>
              <w:autoSpaceDE w:val="0"/>
              <w:autoSpaceDN w:val="0"/>
              <w:spacing w:line="360" w:lineRule="auto"/>
              <w:jc w:val="center"/>
              <w:rPr>
                <w:rFonts w:ascii="宋体" w:hAnsi="宋体" w:cs="宋体"/>
                <w:sz w:val="21"/>
                <w:szCs w:val="21"/>
              </w:rPr>
            </w:pPr>
            <w:r>
              <w:rPr>
                <w:rFonts w:hint="eastAsia" w:ascii="宋体" w:hAnsi="宋体" w:cs="宋体"/>
                <w:sz w:val="21"/>
                <w:szCs w:val="21"/>
              </w:rPr>
              <w:t>硕士签约</w:t>
            </w:r>
          </w:p>
        </w:tc>
        <w:tc>
          <w:tcPr>
            <w:tcW w:w="772" w:type="pct"/>
            <w:vAlign w:val="center"/>
          </w:tcPr>
          <w:p w14:paraId="01600BEC">
            <w:pPr>
              <w:autoSpaceDE w:val="0"/>
              <w:autoSpaceDN w:val="0"/>
              <w:spacing w:line="360" w:lineRule="auto"/>
              <w:jc w:val="center"/>
              <w:rPr>
                <w:rFonts w:ascii="宋体" w:hAnsi="宋体" w:cs="宋体"/>
                <w:sz w:val="21"/>
                <w:szCs w:val="21"/>
              </w:rPr>
            </w:pPr>
            <w:r>
              <w:rPr>
                <w:rFonts w:ascii="宋体" w:hAnsi="宋体" w:cs="宋体"/>
                <w:sz w:val="21"/>
                <w:szCs w:val="21"/>
              </w:rPr>
              <w:t>7</w:t>
            </w:r>
          </w:p>
        </w:tc>
        <w:tc>
          <w:tcPr>
            <w:tcW w:w="1023" w:type="pct"/>
            <w:vAlign w:val="center"/>
          </w:tcPr>
          <w:p w14:paraId="5CB49A23">
            <w:pPr>
              <w:autoSpaceDE w:val="0"/>
              <w:autoSpaceDN w:val="0"/>
              <w:spacing w:line="360" w:lineRule="auto"/>
              <w:jc w:val="center"/>
              <w:rPr>
                <w:rFonts w:ascii="宋体" w:hAnsi="宋体" w:cs="宋体"/>
                <w:sz w:val="21"/>
                <w:szCs w:val="21"/>
              </w:rPr>
            </w:pPr>
            <w:r>
              <w:rPr>
                <w:rFonts w:ascii="宋体" w:hAnsi="宋体" w:cs="宋体"/>
                <w:sz w:val="21"/>
                <w:szCs w:val="21"/>
              </w:rPr>
              <w:t>9</w:t>
            </w:r>
          </w:p>
        </w:tc>
        <w:tc>
          <w:tcPr>
            <w:tcW w:w="938" w:type="pct"/>
            <w:vAlign w:val="center"/>
          </w:tcPr>
          <w:p w14:paraId="5CEC6ECB">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1280" w:type="pct"/>
            <w:vAlign w:val="center"/>
          </w:tcPr>
          <w:p w14:paraId="34AEDB52">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r>
    </w:tbl>
    <w:p w14:paraId="729B2516">
      <w:pPr>
        <w:widowControl/>
        <w:shd w:val="clear" w:color="auto" w:fill="FFFFFF"/>
        <w:ind w:firstLine="560" w:firstLineChars="200"/>
        <w:jc w:val="left"/>
        <w:rPr>
          <w:rFonts w:ascii="宋体" w:hAnsi="宋体"/>
        </w:rPr>
      </w:pPr>
      <w:r>
        <w:rPr>
          <w:rFonts w:hint="eastAsia" w:ascii="宋体" w:hAnsi="宋体"/>
        </w:rPr>
        <w:t>面对当前就业市场，大多数毕业生能较准确地找到自己的就业去向，努力在现有条件下谋求个人发展，就业去向选择呈现自主性、多样化等特点。从反馈情况看，我院大部分毕业生能得到用人单位的普遍认可，反映在我院毕业生能够拥护党的方针政策、工作态度认真严谨、计算机应用能力强、专业基础知识扎实等。调查结果表明，绝大多数毕业生对所从事的工作是能够胜任的，同时，用人单位还进一步表达了需求毕业生的愿望，通过调查和座谈，我们还了解到一些毕业生较为突出的表现。</w:t>
      </w:r>
    </w:p>
    <w:p w14:paraId="6409CAB8">
      <w:pPr>
        <w:pStyle w:val="4"/>
      </w:pPr>
      <w:r>
        <w:rPr>
          <w:rFonts w:hint="eastAsia"/>
        </w:rPr>
        <w:t>四、服务贡献</w:t>
      </w:r>
    </w:p>
    <w:p w14:paraId="6FE3E82F">
      <w:pPr>
        <w:pStyle w:val="2"/>
      </w:pPr>
      <w:r>
        <w:rPr>
          <w:rFonts w:hint="eastAsia"/>
        </w:rPr>
        <w:t>4</w:t>
      </w:r>
      <w:r>
        <w:t>.1</w:t>
      </w:r>
      <w:r>
        <w:rPr>
          <w:rFonts w:hint="eastAsia"/>
        </w:rPr>
        <w:t>科技进步</w:t>
      </w:r>
    </w:p>
    <w:p w14:paraId="1D525035">
      <w:pPr>
        <w:widowControl/>
        <w:shd w:val="clear" w:color="auto" w:fill="FFFFFF"/>
        <w:ind w:firstLine="560" w:firstLineChars="200"/>
        <w:jc w:val="left"/>
        <w:rPr>
          <w:rFonts w:ascii="宋体" w:hAnsi="宋体"/>
        </w:rPr>
      </w:pPr>
      <w:r>
        <w:rPr>
          <w:rFonts w:hint="eastAsia" w:ascii="宋体" w:hAnsi="宋体"/>
        </w:rPr>
        <w:t>天津城建大学作为市属高校中以“城建”类为主干学科专业的大学，区位、资源优势明显。京津冀协同发展及雄安新区建设中城乡规划修编、空间布局调整、新型城镇化管理等相关工作的进一步开展，大量工程项目策划、设计、建设、实施和管理急需城乡规划类专业人才，成为规划专业顺势发展优势。本专业积极响应京津冀城市群与区域协同发展，广泛承接区域建设相关的科研课题，促进了京津冀和环渤海区域经济和城乡发展。评估期内立项国家自然科学基金面上项目“基于大气安全阈值约束与控污物理环境调适的京津冀产-城低污布局理论研究”、青年基金项目“时空行为视角下城市轨交站区空间生长机理及动态调控策略研究”等各级各类科研项目80余项，获得优秀科技论文、城市及乡村规划设计奖项等</w:t>
      </w:r>
      <w:r>
        <w:rPr>
          <w:rFonts w:ascii="宋体" w:hAnsi="宋体"/>
        </w:rPr>
        <w:t>5</w:t>
      </w:r>
      <w:r>
        <w:rPr>
          <w:rFonts w:hint="eastAsia" w:ascii="宋体" w:hAnsi="宋体"/>
        </w:rPr>
        <w:t>0余项，研究生主持大学生创新创业项目</w:t>
      </w:r>
      <w:r>
        <w:rPr>
          <w:rFonts w:ascii="宋体" w:hAnsi="宋体"/>
        </w:rPr>
        <w:t>6</w:t>
      </w:r>
      <w:r>
        <w:rPr>
          <w:rFonts w:hint="eastAsia" w:ascii="宋体" w:hAnsi="宋体"/>
        </w:rPr>
        <w:t>项。</w:t>
      </w:r>
    </w:p>
    <w:p w14:paraId="2F15A850">
      <w:pPr>
        <w:pStyle w:val="2"/>
      </w:pPr>
      <w:r>
        <w:rPr>
          <w:rFonts w:hint="eastAsia"/>
        </w:rPr>
        <w:t>4</w:t>
      </w:r>
      <w:r>
        <w:t>.2</w:t>
      </w:r>
      <w:r>
        <w:rPr>
          <w:rFonts w:hint="eastAsia"/>
        </w:rPr>
        <w:t>经济发展</w:t>
      </w:r>
    </w:p>
    <w:p w14:paraId="6BCFAC5B">
      <w:pPr>
        <w:widowControl/>
        <w:shd w:val="clear" w:color="auto" w:fill="FFFFFF"/>
        <w:ind w:firstLine="560" w:firstLineChars="200"/>
        <w:jc w:val="left"/>
        <w:rPr>
          <w:rFonts w:ascii="宋体" w:hAnsi="宋体"/>
        </w:rPr>
      </w:pPr>
      <w:r>
        <w:rPr>
          <w:rFonts w:ascii="宋体" w:hAnsi="宋体"/>
        </w:rPr>
        <w:t>依托我校城建特色7大学科专业群，充分发挥城乡规划设计与韧性城市研究、社区更新与历</w:t>
      </w:r>
      <w:r>
        <w:rPr>
          <w:rFonts w:hint="eastAsia" w:ascii="宋体" w:hAnsi="宋体"/>
        </w:rPr>
        <w:t>史文化遗产保护规划、空间经济与城乡规划理论研究学科方向优势，拓展当代城乡规划学科发展视野，在参与政策法规、行业标准与规划制定，</w:t>
      </w:r>
      <w:r>
        <w:rPr>
          <w:rFonts w:hint="eastAsia" w:ascii="宋体" w:hAnsi="宋体"/>
          <w:lang w:val="en-US" w:eastAsia="zh-CN"/>
        </w:rPr>
        <w:t>助力乡村振兴</w:t>
      </w:r>
      <w:r>
        <w:rPr>
          <w:rFonts w:hint="eastAsia" w:ascii="宋体" w:hAnsi="宋体"/>
        </w:rPr>
        <w:t>，传承城乡历史文化，优化城市空间布局，开展行业人才培训等社会服务方面为国家和地方发展做出了突出贡献。</w:t>
      </w:r>
    </w:p>
    <w:p w14:paraId="7728BAF2">
      <w:pPr>
        <w:widowControl/>
        <w:shd w:val="clear" w:color="auto" w:fill="FFFFFF"/>
        <w:ind w:firstLine="560" w:firstLineChars="200"/>
        <w:jc w:val="left"/>
        <w:rPr>
          <w:rFonts w:ascii="宋体" w:hAnsi="宋体"/>
        </w:rPr>
      </w:pPr>
      <w:r>
        <w:rPr>
          <w:rFonts w:hint="eastAsia" w:ascii="宋体" w:hAnsi="宋体"/>
        </w:rPr>
        <w:t>（1）</w:t>
      </w:r>
      <w:r>
        <w:rPr>
          <w:rFonts w:ascii="宋体" w:hAnsi="宋体"/>
        </w:rPr>
        <w:t>编制标准规程，服务城乡规划行业发展</w:t>
      </w:r>
      <w:r>
        <w:rPr>
          <w:rFonts w:hint="eastAsia" w:ascii="宋体" w:hAnsi="宋体"/>
        </w:rPr>
        <w:t>。参与编制自然资源部《国土空间详细规划技术规程》。主持编写国家和地方重要标准规程</w:t>
      </w:r>
      <w:r>
        <w:rPr>
          <w:rFonts w:ascii="宋体" w:hAnsi="宋体"/>
        </w:rPr>
        <w:t>20余项。</w:t>
      </w:r>
    </w:p>
    <w:p w14:paraId="4C39BCDF">
      <w:pPr>
        <w:widowControl/>
        <w:shd w:val="clear" w:color="auto" w:fill="FFFFFF"/>
        <w:ind w:firstLine="560" w:firstLineChars="200"/>
        <w:jc w:val="left"/>
        <w:rPr>
          <w:rFonts w:hint="eastAsia" w:ascii="宋体" w:hAnsi="宋体"/>
        </w:rPr>
      </w:pPr>
      <w:r>
        <w:rPr>
          <w:rFonts w:hint="eastAsia" w:ascii="宋体" w:hAnsi="宋体"/>
        </w:rPr>
        <w:t>（2）</w:t>
      </w:r>
      <w:r>
        <w:rPr>
          <w:rFonts w:hint="eastAsia" w:ascii="宋体" w:hAnsi="宋体"/>
          <w:lang w:val="en-US" w:eastAsia="zh-CN"/>
        </w:rPr>
        <w:t>坚持规划引领，助力乡村振兴</w:t>
      </w:r>
      <w:r>
        <w:rPr>
          <w:rFonts w:hint="eastAsia" w:ascii="宋体" w:hAnsi="宋体"/>
        </w:rPr>
        <w:t>。</w:t>
      </w:r>
      <w:r>
        <w:rPr>
          <w:rFonts w:ascii="宋体" w:hAnsi="宋体"/>
        </w:rPr>
        <w:t>通过承担</w:t>
      </w:r>
      <w:r>
        <w:rPr>
          <w:rFonts w:hint="eastAsia" w:ascii="宋体" w:hAnsi="宋体"/>
          <w:lang w:val="en-US" w:eastAsia="zh-CN"/>
        </w:rPr>
        <w:t>乡村振兴示范建设</w:t>
      </w:r>
      <w:r>
        <w:rPr>
          <w:rFonts w:hint="eastAsia" w:ascii="宋体" w:hAnsi="宋体"/>
        </w:rPr>
        <w:t>项目、选派优秀教师支边挂职、开展系列支教活动等方式，助力乡村全面振兴。</w:t>
      </w:r>
    </w:p>
    <w:p w14:paraId="01401913">
      <w:pPr>
        <w:widowControl/>
        <w:shd w:val="clear" w:color="auto" w:fill="FFFFFF"/>
        <w:ind w:firstLine="560" w:firstLineChars="200"/>
        <w:jc w:val="left"/>
        <w:rPr>
          <w:rFonts w:ascii="宋体" w:hAnsi="宋体"/>
        </w:rPr>
      </w:pPr>
      <w:r>
        <w:rPr>
          <w:rFonts w:hint="eastAsia" w:ascii="宋体" w:hAnsi="宋体"/>
        </w:rPr>
        <w:t>（3）</w:t>
      </w:r>
      <w:r>
        <w:rPr>
          <w:rFonts w:ascii="宋体" w:hAnsi="宋体"/>
        </w:rPr>
        <w:t>构建历史文化遗产数字化管理平台，提升城市文化软实力</w:t>
      </w:r>
      <w:r>
        <w:rPr>
          <w:rFonts w:hint="eastAsia" w:ascii="宋体" w:hAnsi="宋体"/>
        </w:rPr>
        <w:t>。开发了“历史街区综合防灾数字化监控和信息分类处理关键技术”提升了“五大道”历史街</w:t>
      </w:r>
      <w:bookmarkStart w:id="4" w:name="_GoBack"/>
      <w:bookmarkEnd w:id="4"/>
      <w:r>
        <w:rPr>
          <w:rFonts w:hint="eastAsia" w:ascii="宋体" w:hAnsi="宋体"/>
        </w:rPr>
        <w:t>区的智慧化管理水平。</w:t>
      </w:r>
    </w:p>
    <w:p w14:paraId="653AFE15">
      <w:pPr>
        <w:widowControl/>
        <w:shd w:val="clear" w:color="auto" w:fill="FFFFFF"/>
        <w:ind w:firstLine="560" w:firstLineChars="200"/>
        <w:jc w:val="left"/>
        <w:rPr>
          <w:rFonts w:ascii="宋体" w:hAnsi="宋体"/>
        </w:rPr>
      </w:pPr>
      <w:r>
        <w:rPr>
          <w:rFonts w:hint="eastAsia" w:ascii="宋体" w:hAnsi="宋体"/>
        </w:rPr>
        <w:t>（4）</w:t>
      </w:r>
      <w:r>
        <w:rPr>
          <w:rFonts w:ascii="宋体" w:hAnsi="宋体"/>
        </w:rPr>
        <w:t>创新土地储备配置策略，助力城市空间布局优化</w:t>
      </w:r>
      <w:r>
        <w:rPr>
          <w:rFonts w:hint="eastAsia" w:ascii="宋体" w:hAnsi="宋体"/>
        </w:rPr>
        <w:t>。参与新版《天津市土地储备管理办法》修订，全方位指导天津市新八大里、水上公园北道、同生化工厂等地块整理储备工作。</w:t>
      </w:r>
    </w:p>
    <w:p w14:paraId="36801DE1">
      <w:pPr>
        <w:pStyle w:val="2"/>
      </w:pPr>
      <w:r>
        <w:rPr>
          <w:rFonts w:hint="eastAsia"/>
        </w:rPr>
        <w:t>4</w:t>
      </w:r>
      <w:r>
        <w:t>.3</w:t>
      </w:r>
      <w:r>
        <w:rPr>
          <w:rFonts w:hint="eastAsia"/>
        </w:rPr>
        <w:t>文化建设</w:t>
      </w:r>
    </w:p>
    <w:p w14:paraId="041D721B">
      <w:pPr>
        <w:widowControl/>
        <w:shd w:val="clear" w:color="auto" w:fill="FFFFFF"/>
        <w:ind w:firstLine="560" w:firstLineChars="200"/>
        <w:jc w:val="left"/>
        <w:rPr>
          <w:rFonts w:ascii="宋体" w:hAnsi="宋体"/>
        </w:rPr>
      </w:pPr>
      <w:r>
        <w:rPr>
          <w:rFonts w:hint="eastAsia" w:ascii="宋体" w:hAnsi="宋体"/>
          <w:szCs w:val="28"/>
        </w:rPr>
        <w:t>围绕中国共产党成立100周年主题，学生通过社会实践，对天津革命遗址进行了调研和实测并举办了“革命丰碑—天津市革命遗址展览”，建立爱国主义教学基地；参与天津电视台“小楼春秋”录制，开展历史建筑遗产保护科普宣传；做客天津市广播电台的“文博不打盹”讲解天津城市发展历史，弘扬优秀传统文化；在天津电视台“大家说理”节目和津云、北方网等多家媒体，就城乡规划热点问题发表学术观点；</w:t>
      </w:r>
      <w:r>
        <w:rPr>
          <w:rFonts w:ascii="宋体" w:hAnsi="宋体"/>
        </w:rPr>
        <w:t>开展城乡规划专业培训，普及城乡规划知识</w:t>
      </w:r>
      <w:r>
        <w:rPr>
          <w:rFonts w:hint="eastAsia" w:ascii="宋体" w:hAnsi="宋体"/>
        </w:rPr>
        <w:t>，多措并举广泛进行宣传培训，传播城乡规划知识和文化，多名教师深入基层开展宣讲</w:t>
      </w:r>
      <w:r>
        <w:rPr>
          <w:rFonts w:ascii="宋体" w:hAnsi="宋体"/>
        </w:rPr>
        <w:t>100余次，受众达1万余人</w:t>
      </w:r>
      <w:r>
        <w:rPr>
          <w:rFonts w:hint="eastAsia" w:ascii="宋体" w:hAnsi="宋体"/>
        </w:rPr>
        <w:t>。</w:t>
      </w:r>
      <w:r>
        <w:rPr>
          <w:rFonts w:hint="eastAsia" w:ascii="宋体" w:hAnsi="宋体"/>
          <w:szCs w:val="28"/>
        </w:rPr>
        <w:t>在社会主义现代化迈进新时代的今天，本学位点为</w:t>
      </w:r>
      <w:r>
        <w:rPr>
          <w:rFonts w:hint="eastAsia" w:ascii="宋体" w:hAnsi="宋体"/>
          <w:szCs w:val="28"/>
          <w:lang w:eastAsia="zh-CN"/>
        </w:rPr>
        <w:t>“</w:t>
      </w:r>
      <w:r>
        <w:rPr>
          <w:rFonts w:hint="eastAsia" w:ascii="宋体" w:hAnsi="宋体"/>
          <w:szCs w:val="28"/>
        </w:rPr>
        <w:t>十四五</w:t>
      </w:r>
      <w:r>
        <w:rPr>
          <w:rFonts w:hint="eastAsia" w:ascii="宋体" w:hAnsi="宋体"/>
          <w:szCs w:val="28"/>
          <w:lang w:eastAsia="zh-CN"/>
        </w:rPr>
        <w:t>”</w:t>
      </w:r>
      <w:r>
        <w:rPr>
          <w:rFonts w:hint="eastAsia" w:ascii="宋体" w:hAnsi="宋体"/>
          <w:szCs w:val="28"/>
        </w:rPr>
        <w:t>规划和2035</w:t>
      </w:r>
      <w:r>
        <w:rPr>
          <w:rFonts w:hint="eastAsia" w:ascii="宋体" w:hAnsi="宋体"/>
          <w:szCs w:val="28"/>
          <w:lang w:val="en-US" w:eastAsia="zh-CN"/>
        </w:rPr>
        <w:t>年</w:t>
      </w:r>
      <w:r>
        <w:rPr>
          <w:rFonts w:hint="eastAsia" w:ascii="宋体" w:hAnsi="宋体"/>
          <w:szCs w:val="28"/>
        </w:rPr>
        <w:t>远景</w:t>
      </w:r>
      <w:r>
        <w:rPr>
          <w:rFonts w:hint="eastAsia" w:ascii="宋体" w:hAnsi="宋体"/>
          <w:szCs w:val="28"/>
          <w:lang w:val="en-US" w:eastAsia="zh-CN"/>
        </w:rPr>
        <w:t>目标</w:t>
      </w:r>
      <w:r>
        <w:rPr>
          <w:rFonts w:hint="eastAsia" w:ascii="宋体" w:hAnsi="宋体"/>
          <w:szCs w:val="28"/>
        </w:rPr>
        <w:t>发挥自身力量，助力天津市红色基因传承。</w:t>
      </w:r>
    </w:p>
    <w:p w14:paraId="29C66EE5">
      <w:pPr>
        <w:pStyle w:val="4"/>
      </w:pPr>
      <w:r>
        <w:rPr>
          <w:rFonts w:hint="eastAsia"/>
        </w:rPr>
        <w:t>五、学位点建设存在的问题及建设规划</w:t>
      </w:r>
    </w:p>
    <w:p w14:paraId="78B9904C">
      <w:pPr>
        <w:pStyle w:val="2"/>
      </w:pPr>
      <w:r>
        <w:rPr>
          <w:rFonts w:hint="eastAsia"/>
        </w:rPr>
        <w:t>5</w:t>
      </w:r>
      <w:r>
        <w:t>.1</w:t>
      </w:r>
      <w:r>
        <w:rPr>
          <w:rFonts w:hint="eastAsia"/>
        </w:rPr>
        <w:t>学位点存在的问题</w:t>
      </w:r>
    </w:p>
    <w:p w14:paraId="6AA8B023">
      <w:pPr>
        <w:spacing w:line="360" w:lineRule="auto"/>
        <w:ind w:firstLine="482"/>
        <w:rPr>
          <w:rFonts w:ascii="宋体" w:hAnsi="宋体"/>
          <w:szCs w:val="24"/>
        </w:rPr>
      </w:pPr>
      <w:r>
        <w:rPr>
          <w:rFonts w:hint="eastAsia" w:ascii="宋体" w:hAnsi="宋体"/>
        </w:rPr>
        <w:t>（1）</w:t>
      </w:r>
      <w:r>
        <w:rPr>
          <w:rFonts w:hint="eastAsia" w:ascii="宋体" w:hAnsi="宋体"/>
          <w:szCs w:val="24"/>
        </w:rPr>
        <w:t>需要进一步凝练学科方向，扩大学科影响</w:t>
      </w:r>
    </w:p>
    <w:p w14:paraId="21237E05">
      <w:pPr>
        <w:spacing w:line="360" w:lineRule="auto"/>
        <w:ind w:firstLine="480"/>
        <w:rPr>
          <w:rFonts w:ascii="宋体" w:hAnsi="宋体"/>
          <w:bCs/>
          <w:szCs w:val="24"/>
        </w:rPr>
      </w:pPr>
      <w:r>
        <w:rPr>
          <w:rFonts w:hint="eastAsia" w:ascii="宋体" w:hAnsi="宋体"/>
          <w:bCs/>
          <w:szCs w:val="24"/>
        </w:rPr>
        <w:t>立足所在京津冀区域，面向国家和地方发展需求，进一步凝练符合地域特色和学科特色的学科方向，优化人才培养体系，努力</w:t>
      </w:r>
      <w:r>
        <w:rPr>
          <w:rFonts w:ascii="宋体" w:hAnsi="宋体"/>
          <w:bCs/>
          <w:szCs w:val="24"/>
        </w:rPr>
        <w:t>提升学科</w:t>
      </w:r>
      <w:r>
        <w:rPr>
          <w:rFonts w:hint="eastAsia" w:ascii="宋体" w:hAnsi="宋体"/>
          <w:bCs/>
          <w:szCs w:val="24"/>
        </w:rPr>
        <w:t>在国内的</w:t>
      </w:r>
      <w:r>
        <w:rPr>
          <w:rFonts w:ascii="宋体" w:hAnsi="宋体"/>
          <w:bCs/>
          <w:szCs w:val="24"/>
        </w:rPr>
        <w:t>影响力</w:t>
      </w:r>
      <w:r>
        <w:rPr>
          <w:rFonts w:hint="eastAsia" w:ascii="宋体" w:hAnsi="宋体"/>
          <w:bCs/>
          <w:szCs w:val="24"/>
        </w:rPr>
        <w:t>和服务能力。进一步加大对城乡规划专业教学投入，增加城乡规划专业教学空间。</w:t>
      </w:r>
    </w:p>
    <w:p w14:paraId="45076935">
      <w:pPr>
        <w:spacing w:line="360" w:lineRule="auto"/>
        <w:ind w:firstLine="482"/>
        <w:rPr>
          <w:rFonts w:ascii="宋体" w:hAnsi="宋体"/>
          <w:szCs w:val="24"/>
        </w:rPr>
      </w:pPr>
      <w:r>
        <w:rPr>
          <w:rFonts w:hint="eastAsia" w:ascii="宋体" w:hAnsi="宋体"/>
        </w:rPr>
        <w:t>（</w:t>
      </w:r>
      <w:r>
        <w:rPr>
          <w:rFonts w:ascii="宋体" w:hAnsi="宋体"/>
        </w:rPr>
        <w:t>2</w:t>
      </w:r>
      <w:r>
        <w:rPr>
          <w:rFonts w:hint="eastAsia" w:ascii="宋体" w:hAnsi="宋体"/>
        </w:rPr>
        <w:t>）</w:t>
      </w:r>
      <w:r>
        <w:rPr>
          <w:rFonts w:hint="eastAsia" w:ascii="宋体" w:hAnsi="宋体"/>
          <w:szCs w:val="24"/>
        </w:rPr>
        <w:t>需要加强教师队伍建设，优化师资结构</w:t>
      </w:r>
    </w:p>
    <w:p w14:paraId="4BB5ED8D">
      <w:pPr>
        <w:spacing w:line="360" w:lineRule="auto"/>
        <w:ind w:firstLine="480"/>
        <w:rPr>
          <w:rFonts w:ascii="宋体" w:hAnsi="宋体"/>
          <w:bCs/>
          <w:szCs w:val="24"/>
        </w:rPr>
      </w:pPr>
      <w:r>
        <w:rPr>
          <w:rFonts w:hint="eastAsia" w:ascii="宋体" w:hAnsi="宋体"/>
          <w:bCs/>
          <w:szCs w:val="24"/>
        </w:rPr>
        <w:t>加大学术梯队建设，有力支撑国家一流专业发展。培育或</w:t>
      </w:r>
      <w:r>
        <w:rPr>
          <w:rFonts w:ascii="宋体" w:hAnsi="宋体"/>
          <w:bCs/>
          <w:szCs w:val="24"/>
        </w:rPr>
        <w:t>引进</w:t>
      </w:r>
      <w:r>
        <w:rPr>
          <w:rFonts w:hint="eastAsia" w:ascii="宋体" w:hAnsi="宋体"/>
          <w:bCs/>
          <w:szCs w:val="24"/>
        </w:rPr>
        <w:t>各方向的</w:t>
      </w:r>
      <w:r>
        <w:rPr>
          <w:rFonts w:ascii="宋体" w:hAnsi="宋体"/>
          <w:bCs/>
          <w:szCs w:val="24"/>
        </w:rPr>
        <w:t>领军人才</w:t>
      </w:r>
      <w:r>
        <w:rPr>
          <w:rFonts w:hint="eastAsia" w:ascii="宋体" w:hAnsi="宋体"/>
          <w:bCs/>
          <w:szCs w:val="24"/>
        </w:rPr>
        <w:t>，构建专业结构、职称结构和年龄结构相协调的教师队伍。支持青年教师的培养发展，创造更好的青年教师成长环境。</w:t>
      </w:r>
    </w:p>
    <w:p w14:paraId="445DE6E2">
      <w:pPr>
        <w:spacing w:line="360" w:lineRule="auto"/>
        <w:ind w:firstLine="482"/>
        <w:rPr>
          <w:rFonts w:ascii="宋体" w:hAnsi="宋体"/>
          <w:szCs w:val="24"/>
        </w:rPr>
      </w:pPr>
      <w:r>
        <w:rPr>
          <w:rFonts w:hint="eastAsia" w:ascii="宋体" w:hAnsi="宋体"/>
        </w:rPr>
        <w:t>（</w:t>
      </w:r>
      <w:r>
        <w:rPr>
          <w:rFonts w:ascii="宋体" w:hAnsi="宋体"/>
        </w:rPr>
        <w:t>3</w:t>
      </w:r>
      <w:r>
        <w:rPr>
          <w:rFonts w:hint="eastAsia" w:ascii="宋体" w:hAnsi="宋体"/>
        </w:rPr>
        <w:t>）</w:t>
      </w:r>
      <w:r>
        <w:rPr>
          <w:rFonts w:hint="eastAsia" w:ascii="宋体" w:hAnsi="宋体"/>
          <w:szCs w:val="24"/>
        </w:rPr>
        <w:t>需要适应规划转型发展需求，进一步优化教学体系</w:t>
      </w:r>
    </w:p>
    <w:p w14:paraId="0DF00C02">
      <w:pPr>
        <w:spacing w:line="360" w:lineRule="auto"/>
        <w:ind w:firstLine="480"/>
        <w:rPr>
          <w:rFonts w:ascii="宋体" w:hAnsi="宋体"/>
          <w:bCs/>
          <w:szCs w:val="24"/>
        </w:rPr>
      </w:pPr>
      <w:r>
        <w:rPr>
          <w:rFonts w:hint="eastAsia" w:ascii="宋体" w:hAnsi="宋体"/>
          <w:bCs/>
          <w:szCs w:val="24"/>
        </w:rPr>
        <w:t>面向国土空间规划改革，探索构建新型规划人才培养体系，充实适应规划改革需求的相关知识，完善</w:t>
      </w:r>
      <w:r>
        <w:rPr>
          <w:rFonts w:ascii="宋体" w:hAnsi="宋体"/>
          <w:bCs/>
          <w:szCs w:val="24"/>
        </w:rPr>
        <w:t>课程体系</w:t>
      </w:r>
      <w:r>
        <w:rPr>
          <w:rFonts w:hint="eastAsia" w:ascii="宋体" w:hAnsi="宋体"/>
          <w:bCs/>
          <w:szCs w:val="24"/>
        </w:rPr>
        <w:t>建设和特色课程建设；不断增强本科生的复合应用能力和研究生的综合创新能力。</w:t>
      </w:r>
    </w:p>
    <w:p w14:paraId="72AFCE8F">
      <w:pPr>
        <w:pStyle w:val="2"/>
      </w:pPr>
      <w:r>
        <w:rPr>
          <w:rFonts w:hint="eastAsia"/>
        </w:rPr>
        <w:t>5</w:t>
      </w:r>
      <w:r>
        <w:t>.2</w:t>
      </w:r>
      <w:r>
        <w:rPr>
          <w:rFonts w:hint="eastAsia"/>
        </w:rPr>
        <w:t>学位点建设规划</w:t>
      </w:r>
    </w:p>
    <w:p w14:paraId="7B99C100">
      <w:pPr>
        <w:spacing w:line="360" w:lineRule="auto"/>
        <w:ind w:firstLine="480"/>
        <w:rPr>
          <w:rFonts w:ascii="宋体" w:hAnsi="宋体"/>
          <w:bCs/>
          <w:szCs w:val="24"/>
        </w:rPr>
      </w:pPr>
      <w:r>
        <w:rPr>
          <w:rFonts w:hint="eastAsia" w:ascii="宋体" w:hAnsi="宋体"/>
          <w:bCs/>
          <w:szCs w:val="24"/>
        </w:rPr>
        <w:t>（1）汇聚高端人才，加强导师队伍建设</w:t>
      </w:r>
    </w:p>
    <w:p w14:paraId="4A8CDF45">
      <w:pPr>
        <w:widowControl/>
        <w:shd w:val="clear" w:color="auto" w:fill="FFFFFF"/>
        <w:ind w:firstLine="560" w:firstLineChars="200"/>
        <w:jc w:val="left"/>
        <w:rPr>
          <w:rFonts w:ascii="宋体" w:hAnsi="宋体"/>
        </w:rPr>
      </w:pPr>
      <w:r>
        <w:rPr>
          <w:rFonts w:hint="eastAsia" w:ascii="宋体" w:hAnsi="宋体"/>
        </w:rPr>
        <w:t>加大高层次人才引进力度，积极引进优秀博士人才</w:t>
      </w:r>
      <w:r>
        <w:rPr>
          <w:rFonts w:ascii="宋体" w:hAnsi="宋体"/>
        </w:rPr>
        <w:t>1-2名。进一步加强双师型队伍建设，逐步落实导师团制。依托天津市创新团队建设，引进或培养天津市高校人才计划入选者1人。拓展校外导师队伍，打造一支理论与实践结合、打通科学研究规划设计的专兼结合型师资队伍。</w:t>
      </w:r>
    </w:p>
    <w:p w14:paraId="2F65851E">
      <w:pPr>
        <w:spacing w:line="360" w:lineRule="auto"/>
        <w:ind w:firstLine="480"/>
        <w:rPr>
          <w:rFonts w:ascii="宋体" w:hAnsi="宋体"/>
          <w:bCs/>
          <w:szCs w:val="24"/>
        </w:rPr>
      </w:pPr>
      <w:r>
        <w:rPr>
          <w:rFonts w:hint="eastAsia" w:ascii="宋体" w:hAnsi="宋体"/>
          <w:bCs/>
          <w:szCs w:val="24"/>
        </w:rPr>
        <w:t>（2）拓展国际视野，优化实践课程配置</w:t>
      </w:r>
    </w:p>
    <w:p w14:paraId="233E16F8">
      <w:pPr>
        <w:spacing w:line="360" w:lineRule="auto"/>
        <w:ind w:firstLine="480"/>
        <w:rPr>
          <w:rFonts w:ascii="宋体" w:hAnsi="宋体"/>
          <w:bCs/>
          <w:szCs w:val="24"/>
        </w:rPr>
      </w:pPr>
      <w:r>
        <w:rPr>
          <w:rFonts w:hint="eastAsia" w:ascii="宋体" w:hAnsi="宋体"/>
          <w:bCs/>
          <w:szCs w:val="24"/>
        </w:rPr>
        <w:t>进一步加强人才培养方面的国际合作与交流，拓宽师生视野，为持续深入国际化的人才培养奠定基础；进一步优化本学位点实践型课程设置，强化以研究性设计及相关论文相结合的方式作为学位论文的教学改革</w:t>
      </w:r>
      <w:r>
        <w:rPr>
          <w:rFonts w:hint="eastAsia" w:ascii="宋体" w:hAnsi="宋体"/>
          <w:bCs/>
          <w:szCs w:val="24"/>
          <w:lang w:eastAsia="zh-CN"/>
        </w:rPr>
        <w:t>，</w:t>
      </w:r>
      <w:r>
        <w:rPr>
          <w:rFonts w:hint="eastAsia" w:ascii="宋体" w:hAnsi="宋体"/>
          <w:bCs/>
          <w:szCs w:val="24"/>
        </w:rPr>
        <w:t>积极申报市级教改项目、加强教材建设。</w:t>
      </w:r>
    </w:p>
    <w:p w14:paraId="0A40E29F">
      <w:pPr>
        <w:spacing w:line="360" w:lineRule="auto"/>
        <w:ind w:firstLine="480"/>
        <w:rPr>
          <w:rFonts w:ascii="宋体" w:hAnsi="宋体"/>
          <w:bCs/>
          <w:szCs w:val="24"/>
        </w:rPr>
      </w:pPr>
      <w:r>
        <w:rPr>
          <w:rFonts w:hint="eastAsia" w:ascii="宋体" w:hAnsi="宋体"/>
          <w:bCs/>
          <w:szCs w:val="24"/>
        </w:rPr>
        <w:t>（3）围绕学科方向，促进产学研一体化</w:t>
      </w:r>
    </w:p>
    <w:p w14:paraId="1198D055">
      <w:pPr>
        <w:spacing w:line="360" w:lineRule="auto"/>
        <w:ind w:firstLine="480"/>
        <w:rPr>
          <w:rFonts w:ascii="宋体" w:hAnsi="宋体"/>
        </w:rPr>
      </w:pPr>
      <w:r>
        <w:rPr>
          <w:rFonts w:hint="eastAsia" w:ascii="宋体" w:hAnsi="宋体"/>
          <w:bCs/>
          <w:szCs w:val="24"/>
        </w:rPr>
        <w:t>进一步加强专业性硕士培养方案改革，面向社会经济重大需求和学科实际，提升学生的实践能力。紧密围绕城乡规划设计与韧性城市研究、城乡历史文化遗产保护规划、城乡空间治理与土地利用研究学</w:t>
      </w:r>
      <w:r>
        <w:rPr>
          <w:rFonts w:hint="eastAsia" w:ascii="宋体" w:hAnsi="宋体"/>
        </w:rPr>
        <w:t>科方向，国家发展战略以及天津市地方发展需求开展学科建设。教学着重抓质量</w:t>
      </w:r>
      <w:r>
        <w:rPr>
          <w:rFonts w:hint="eastAsia" w:ascii="宋体" w:hAnsi="宋体"/>
          <w:lang w:eastAsia="zh-CN"/>
        </w:rPr>
        <w:t>、</w:t>
      </w:r>
      <w:r>
        <w:rPr>
          <w:rFonts w:hint="eastAsia" w:ascii="宋体" w:hAnsi="宋体"/>
        </w:rPr>
        <w:t>出特色，促进产学研一体化。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E4D6FD-BCB2-4A4B-926E-38C20CEA83F9}"/>
  </w:font>
  <w:font w:name="黑体">
    <w:panose1 w:val="02010609060101010101"/>
    <w:charset w:val="86"/>
    <w:family w:val="auto"/>
    <w:pitch w:val="default"/>
    <w:sig w:usb0="800002BF" w:usb1="38CF7CFA" w:usb2="00000016" w:usb3="00000000" w:csb0="00040001" w:csb1="00000000"/>
    <w:embedRegular r:id="rId2" w:fontKey="{3F16022F-CD9D-4A93-9B3F-45D9780D6DC4}"/>
  </w:font>
  <w:font w:name="Courier New">
    <w:panose1 w:val="02070309020205020404"/>
    <w:charset w:val="01"/>
    <w:family w:val="modern"/>
    <w:pitch w:val="default"/>
    <w:sig w:usb0="E0002EFF" w:usb1="C0007843" w:usb2="00000009" w:usb3="00000000" w:csb0="400001FF" w:csb1="FFFF0000"/>
    <w:embedRegular r:id="rId3" w:fontKey="{66220213-1CA7-4047-B8AD-FAA269904E7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4" w:fontKey="{E300641B-5701-49AA-9DD6-3721FEE65CBA}"/>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embedRegular r:id="rId5" w:fontKey="{0F20C584-F49B-412A-8CA1-EFEBB9C60DCE}"/>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6" w:fontKey="{32B4018F-A10C-40F4-B920-6B324EFF18D8}"/>
  </w:font>
  <w:font w:name="仿宋">
    <w:panose1 w:val="02010609060101010101"/>
    <w:charset w:val="86"/>
    <w:family w:val="modern"/>
    <w:pitch w:val="default"/>
    <w:sig w:usb0="800002BF" w:usb1="38CF7CFA" w:usb2="00000016" w:usb3="00000000" w:csb0="00040001" w:csb1="00000000"/>
    <w:embedRegular r:id="rId7" w:fontKey="{063D049F-5692-4112-9980-C1A71581C398}"/>
  </w:font>
  <w:font w:name="仿宋_GB2312">
    <w:altName w:val="仿宋"/>
    <w:panose1 w:val="00000000000000000000"/>
    <w:charset w:val="86"/>
    <w:family w:val="modern"/>
    <w:pitch w:val="default"/>
    <w:sig w:usb0="00000000" w:usb1="00000000" w:usb2="00000010" w:usb3="00000000" w:csb0="00040000" w:csb1="00000000"/>
    <w:embedRegular r:id="rId8" w:fontKey="{D9B4E0E6-59F5-4EEC-A3CC-0B64D1F11B7B}"/>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D8"/>
    <w:rsid w:val="00000A2C"/>
    <w:rsid w:val="0002361F"/>
    <w:rsid w:val="000964E2"/>
    <w:rsid w:val="000A49E3"/>
    <w:rsid w:val="000E2CB4"/>
    <w:rsid w:val="00150EB4"/>
    <w:rsid w:val="0017740C"/>
    <w:rsid w:val="001959BC"/>
    <w:rsid w:val="00207073"/>
    <w:rsid w:val="00216271"/>
    <w:rsid w:val="00216BAD"/>
    <w:rsid w:val="00227CD2"/>
    <w:rsid w:val="00233955"/>
    <w:rsid w:val="002A4B54"/>
    <w:rsid w:val="002C1413"/>
    <w:rsid w:val="002F3086"/>
    <w:rsid w:val="00307B5C"/>
    <w:rsid w:val="0033351B"/>
    <w:rsid w:val="003526BE"/>
    <w:rsid w:val="0039407B"/>
    <w:rsid w:val="00395AA4"/>
    <w:rsid w:val="003C241B"/>
    <w:rsid w:val="003D4670"/>
    <w:rsid w:val="003D6D7D"/>
    <w:rsid w:val="004129CF"/>
    <w:rsid w:val="004511B2"/>
    <w:rsid w:val="00462D40"/>
    <w:rsid w:val="00490965"/>
    <w:rsid w:val="00494F0F"/>
    <w:rsid w:val="004D251C"/>
    <w:rsid w:val="004D4DBB"/>
    <w:rsid w:val="004E060E"/>
    <w:rsid w:val="004E7604"/>
    <w:rsid w:val="004E7F3C"/>
    <w:rsid w:val="004F6BFF"/>
    <w:rsid w:val="00501318"/>
    <w:rsid w:val="005331F2"/>
    <w:rsid w:val="0054659F"/>
    <w:rsid w:val="00554655"/>
    <w:rsid w:val="0057118F"/>
    <w:rsid w:val="005A5E93"/>
    <w:rsid w:val="005A72B9"/>
    <w:rsid w:val="005D1128"/>
    <w:rsid w:val="005F3211"/>
    <w:rsid w:val="00601B86"/>
    <w:rsid w:val="00631AD2"/>
    <w:rsid w:val="006336C1"/>
    <w:rsid w:val="006574C1"/>
    <w:rsid w:val="0066565E"/>
    <w:rsid w:val="00676234"/>
    <w:rsid w:val="006C623D"/>
    <w:rsid w:val="006C7F2B"/>
    <w:rsid w:val="006E22A1"/>
    <w:rsid w:val="006F7869"/>
    <w:rsid w:val="00784DBC"/>
    <w:rsid w:val="007B77D6"/>
    <w:rsid w:val="007D7063"/>
    <w:rsid w:val="007E04C0"/>
    <w:rsid w:val="007F4E8B"/>
    <w:rsid w:val="007F4F36"/>
    <w:rsid w:val="00824CD8"/>
    <w:rsid w:val="008406E0"/>
    <w:rsid w:val="0084653C"/>
    <w:rsid w:val="008C4102"/>
    <w:rsid w:val="008C5DF0"/>
    <w:rsid w:val="008F1AFD"/>
    <w:rsid w:val="008F532B"/>
    <w:rsid w:val="0090696C"/>
    <w:rsid w:val="009C1C9A"/>
    <w:rsid w:val="009C3123"/>
    <w:rsid w:val="009D7FBF"/>
    <w:rsid w:val="00A61384"/>
    <w:rsid w:val="00A9120F"/>
    <w:rsid w:val="00A92525"/>
    <w:rsid w:val="00AA1B0F"/>
    <w:rsid w:val="00AD241C"/>
    <w:rsid w:val="00AD47CE"/>
    <w:rsid w:val="00B005BB"/>
    <w:rsid w:val="00B6693C"/>
    <w:rsid w:val="00B8620C"/>
    <w:rsid w:val="00BD34F3"/>
    <w:rsid w:val="00C225AA"/>
    <w:rsid w:val="00C24117"/>
    <w:rsid w:val="00C92EAF"/>
    <w:rsid w:val="00D16E29"/>
    <w:rsid w:val="00D347E2"/>
    <w:rsid w:val="00D578ED"/>
    <w:rsid w:val="00D66423"/>
    <w:rsid w:val="00D9362D"/>
    <w:rsid w:val="00DA2EEE"/>
    <w:rsid w:val="00DA5012"/>
    <w:rsid w:val="00DB051C"/>
    <w:rsid w:val="00DD188B"/>
    <w:rsid w:val="00DF4EAC"/>
    <w:rsid w:val="00E12CAA"/>
    <w:rsid w:val="00E212C2"/>
    <w:rsid w:val="00E4149B"/>
    <w:rsid w:val="00E77A38"/>
    <w:rsid w:val="00E877A7"/>
    <w:rsid w:val="00ED1A0F"/>
    <w:rsid w:val="00EF28F8"/>
    <w:rsid w:val="00F24705"/>
    <w:rsid w:val="00F56CCA"/>
    <w:rsid w:val="00F67BA3"/>
    <w:rsid w:val="00F90FDB"/>
    <w:rsid w:val="00F97C17"/>
    <w:rsid w:val="00FC79A1"/>
    <w:rsid w:val="00FD0181"/>
    <w:rsid w:val="00FD0964"/>
    <w:rsid w:val="00FD217B"/>
    <w:rsid w:val="00FD2711"/>
    <w:rsid w:val="00FD342E"/>
    <w:rsid w:val="00FE77BB"/>
    <w:rsid w:val="00FF7312"/>
    <w:rsid w:val="025609C5"/>
    <w:rsid w:val="040C3D40"/>
    <w:rsid w:val="07BB335B"/>
    <w:rsid w:val="0AC27289"/>
    <w:rsid w:val="0B50723E"/>
    <w:rsid w:val="11FB6D52"/>
    <w:rsid w:val="12E56E05"/>
    <w:rsid w:val="13204B77"/>
    <w:rsid w:val="1401211A"/>
    <w:rsid w:val="19864D35"/>
    <w:rsid w:val="1B7A0D21"/>
    <w:rsid w:val="24833D88"/>
    <w:rsid w:val="2BEC79DA"/>
    <w:rsid w:val="2D105F26"/>
    <w:rsid w:val="33267306"/>
    <w:rsid w:val="334254A7"/>
    <w:rsid w:val="3B4958D4"/>
    <w:rsid w:val="3E4F2B8B"/>
    <w:rsid w:val="425168A9"/>
    <w:rsid w:val="436A07FE"/>
    <w:rsid w:val="46BD2748"/>
    <w:rsid w:val="46C07C33"/>
    <w:rsid w:val="47374FEA"/>
    <w:rsid w:val="4AD133AE"/>
    <w:rsid w:val="4E726A98"/>
    <w:rsid w:val="50660F5D"/>
    <w:rsid w:val="51FD2B1C"/>
    <w:rsid w:val="52E87329"/>
    <w:rsid w:val="5A337FF8"/>
    <w:rsid w:val="5D1217CA"/>
    <w:rsid w:val="5F9C4986"/>
    <w:rsid w:val="60C90799"/>
    <w:rsid w:val="632F4DE3"/>
    <w:rsid w:val="63A4104A"/>
    <w:rsid w:val="66B56428"/>
    <w:rsid w:val="6C270246"/>
    <w:rsid w:val="70496B54"/>
    <w:rsid w:val="709D02E6"/>
    <w:rsid w:val="70A84B37"/>
    <w:rsid w:val="71A64371"/>
    <w:rsid w:val="72623D29"/>
    <w:rsid w:val="74B16BC6"/>
    <w:rsid w:val="75CB454E"/>
    <w:rsid w:val="77163BB5"/>
    <w:rsid w:val="7956298E"/>
    <w:rsid w:val="7CC73196"/>
    <w:rsid w:val="7DB54128"/>
    <w:rsid w:val="7F8E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8"/>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paragraph" w:styleId="2">
    <w:name w:val="heading 3"/>
    <w:basedOn w:val="1"/>
    <w:next w:val="1"/>
    <w:link w:val="19"/>
    <w:unhideWhenUsed/>
    <w:qFormat/>
    <w:uiPriority w:val="9"/>
    <w:pPr>
      <w:keepNext/>
      <w:keepLines/>
      <w:spacing w:before="260" w:after="260" w:line="416" w:lineRule="auto"/>
      <w:outlineLvl w:val="2"/>
    </w:pPr>
    <w:rPr>
      <w:rFonts w:ascii="黑体" w:hAnsi="黑体" w:eastAsia="黑体"/>
      <w:b/>
      <w:bCs/>
      <w:sz w:val="32"/>
      <w:szCs w:val="32"/>
    </w:rPr>
  </w:style>
  <w:style w:type="paragraph" w:styleId="5">
    <w:name w:val="heading 4"/>
    <w:basedOn w:val="1"/>
    <w:next w:val="1"/>
    <w:link w:val="20"/>
    <w:unhideWhenUsed/>
    <w:qFormat/>
    <w:uiPriority w:val="9"/>
    <w:pPr>
      <w:keepNext/>
      <w:keepLines/>
      <w:spacing w:before="280" w:after="290" w:line="377" w:lineRule="auto"/>
      <w:ind w:left="200" w:leftChars="200"/>
      <w:outlineLvl w:val="3"/>
    </w:pPr>
    <w:rPr>
      <w:rFonts w:eastAsia="黑体" w:asciiTheme="majorHAnsi" w:hAnsiTheme="majorHAnsi" w:cstheme="majorBidi"/>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unhideWhenUsed/>
    <w:qFormat/>
    <w:uiPriority w:val="99"/>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unhideWhenUsed/>
    <w:qFormat/>
    <w:uiPriority w:val="99"/>
    <w:pPr>
      <w:ind w:firstLine="42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toolbarlabel"/>
    <w:basedOn w:val="12"/>
    <w:qFormat/>
    <w:uiPriority w:val="0"/>
  </w:style>
  <w:style w:type="character" w:customStyle="1" w:styleId="14">
    <w:name w:val="dropdowntoolbarbutton"/>
    <w:basedOn w:val="12"/>
    <w:qFormat/>
    <w:uiPriority w:val="0"/>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标题 1 Char"/>
    <w:basedOn w:val="12"/>
    <w:link w:val="3"/>
    <w:qFormat/>
    <w:uiPriority w:val="9"/>
    <w:rPr>
      <w:b/>
      <w:bCs/>
      <w:kern w:val="44"/>
      <w:sz w:val="44"/>
      <w:szCs w:val="44"/>
    </w:rPr>
  </w:style>
  <w:style w:type="character" w:customStyle="1" w:styleId="18">
    <w:name w:val="标题 2 Char"/>
    <w:basedOn w:val="12"/>
    <w:link w:val="4"/>
    <w:qFormat/>
    <w:uiPriority w:val="0"/>
    <w:rPr>
      <w:rFonts w:eastAsia="黑体" w:asciiTheme="majorHAnsi" w:hAnsiTheme="majorHAnsi" w:cstheme="majorBidi"/>
      <w:b/>
      <w:bCs/>
      <w:sz w:val="32"/>
      <w:szCs w:val="32"/>
    </w:rPr>
  </w:style>
  <w:style w:type="character" w:customStyle="1" w:styleId="19">
    <w:name w:val="标题 3 Char"/>
    <w:basedOn w:val="12"/>
    <w:link w:val="2"/>
    <w:qFormat/>
    <w:uiPriority w:val="9"/>
    <w:rPr>
      <w:rFonts w:ascii="黑体" w:hAnsi="黑体" w:eastAsia="黑体"/>
      <w:b/>
      <w:bCs/>
      <w:sz w:val="32"/>
      <w:szCs w:val="32"/>
    </w:rPr>
  </w:style>
  <w:style w:type="character" w:customStyle="1" w:styleId="20">
    <w:name w:val="标题 4 Char"/>
    <w:basedOn w:val="12"/>
    <w:link w:val="5"/>
    <w:qFormat/>
    <w:uiPriority w:val="9"/>
    <w:rPr>
      <w:rFonts w:eastAsia="黑体" w:asciiTheme="majorHAnsi" w:hAnsiTheme="majorHAnsi" w:cstheme="majorBidi"/>
      <w:b/>
      <w:bCs/>
      <w:sz w:val="28"/>
      <w:szCs w:val="28"/>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qFormat/>
    <w:uiPriority w:val="0"/>
    <w:pPr>
      <w:spacing w:line="600" w:lineRule="exact"/>
      <w:ind w:firstLine="640" w:firstLineChars="200"/>
      <w:textAlignment w:val="baseline"/>
    </w:pPr>
    <w:rPr>
      <w:rFonts w:ascii="黑体" w:hAnsi="黑体" w:eastAsia="黑体"/>
      <w:color w:val="000000"/>
      <w:sz w:val="32"/>
      <w:szCs w:val="32"/>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320CD-C18F-439B-83C2-F359CB34EA78}">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4820</Words>
  <Characters>5008</Characters>
  <Lines>88</Lines>
  <Paragraphs>24</Paragraphs>
  <TotalTime>15</TotalTime>
  <ScaleCrop>false</ScaleCrop>
  <LinksUpToDate>false</LinksUpToDate>
  <CharactersWithSpaces>5012</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2023-04-19T08:24:00Z</dcterms:created>
  <dc:creator>Lenovo</dc:creator>
  <cp:lastModifiedBy>JULY</cp:lastModifiedBy>
  <dcterms:modified xsi:type="dcterms:W3CDTF">2025-03-30T03:24:34Z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KSOTemplateDocerSaveRecord">
    <vt:lpwstr>eyJoZGlkIjoiYzViYWIxNjBhZmFhYmEzZDI3YmVkODExMjE1NDJlMTUiLCJ1c2VySWQiOiI2NDU2NTU4MDAifQ==</vt:lpwstr>
  </property>
  <property fmtid="{D5CDD505-2E9C-101B-9397-08002B2CF9AE}" pid="4" name="ICV">
    <vt:lpwstr>77C2FC60FC8044D3B8D45F0089765349_12</vt:lpwstr>
  </property>
</Properties>
</file>