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A4A3" w14:textId="77777777" w:rsidR="00CC059E" w:rsidRDefault="00CC059E">
      <w:pPr>
        <w:spacing w:after="156" w:line="560" w:lineRule="exact"/>
        <w:ind w:firstLine="880"/>
        <w:jc w:val="center"/>
        <w:textAlignment w:val="baseline"/>
        <w:rPr>
          <w:rStyle w:val="NormalCharacter"/>
          <w:rFonts w:ascii="Times New Roman" w:eastAsia="方正小标宋简体" w:hAnsi="Times New Roman" w:cs="Times New Roman"/>
          <w:b/>
          <w:sz w:val="44"/>
          <w:szCs w:val="44"/>
        </w:rPr>
      </w:pPr>
    </w:p>
    <w:p w14:paraId="1F8BDA3B" w14:textId="77777777" w:rsidR="00CC059E" w:rsidRDefault="00CC059E">
      <w:pPr>
        <w:spacing w:after="156" w:line="560" w:lineRule="exact"/>
        <w:ind w:firstLine="880"/>
        <w:jc w:val="center"/>
        <w:textAlignment w:val="baseline"/>
        <w:rPr>
          <w:rStyle w:val="NormalCharacter"/>
          <w:rFonts w:ascii="Times New Roman" w:eastAsia="方正小标宋简体" w:hAnsi="Times New Roman" w:cs="Times New Roman"/>
          <w:bCs/>
          <w:sz w:val="44"/>
          <w:szCs w:val="44"/>
        </w:rPr>
      </w:pPr>
    </w:p>
    <w:p w14:paraId="533FDB2E" w14:textId="77777777" w:rsidR="00CC059E" w:rsidRDefault="00CC059E">
      <w:pPr>
        <w:spacing w:after="156" w:line="560" w:lineRule="exact"/>
        <w:ind w:firstLine="880"/>
        <w:jc w:val="center"/>
        <w:textAlignment w:val="baseline"/>
        <w:rPr>
          <w:rStyle w:val="NormalCharacter"/>
          <w:rFonts w:ascii="Times New Roman" w:eastAsia="方正小标宋简体" w:hAnsi="Times New Roman" w:cs="Times New Roman"/>
          <w:bCs/>
          <w:sz w:val="44"/>
          <w:szCs w:val="44"/>
        </w:rPr>
      </w:pPr>
    </w:p>
    <w:p w14:paraId="53C85411" w14:textId="77777777" w:rsidR="00CC059E" w:rsidRDefault="005B731A">
      <w:pPr>
        <w:widowControl/>
        <w:spacing w:after="156" w:line="560" w:lineRule="exact"/>
        <w:ind w:firstLine="883"/>
        <w:jc w:val="center"/>
        <w:textAlignment w:val="baseline"/>
        <w:rPr>
          <w:rStyle w:val="NormalCharacter"/>
          <w:rFonts w:ascii="宋体" w:eastAsia="宋体" w:hAnsi="宋体" w:cs="Times New Roman"/>
          <w:b/>
          <w:bCs/>
          <w:sz w:val="44"/>
          <w:szCs w:val="44"/>
        </w:rPr>
      </w:pPr>
      <w:r>
        <w:rPr>
          <w:rStyle w:val="NormalCharacter"/>
          <w:rFonts w:ascii="宋体" w:eastAsia="宋体" w:hAnsi="宋体" w:cs="Times New Roman" w:hint="eastAsia"/>
          <w:b/>
          <w:bCs/>
          <w:sz w:val="44"/>
          <w:szCs w:val="44"/>
        </w:rPr>
        <w:t>天津城建大学</w:t>
      </w:r>
      <w:r>
        <w:rPr>
          <w:rStyle w:val="NormalCharacter"/>
          <w:rFonts w:ascii="宋体" w:eastAsia="宋体" w:hAnsi="宋体" w:cs="Times New Roman"/>
          <w:b/>
          <w:bCs/>
          <w:sz w:val="44"/>
          <w:szCs w:val="44"/>
        </w:rPr>
        <w:t xml:space="preserve"> </w:t>
      </w:r>
    </w:p>
    <w:p w14:paraId="474E00A5" w14:textId="77777777" w:rsidR="00CC059E" w:rsidRDefault="005B731A">
      <w:pPr>
        <w:widowControl/>
        <w:spacing w:after="156" w:line="560" w:lineRule="exact"/>
        <w:ind w:firstLine="883"/>
        <w:jc w:val="center"/>
        <w:textAlignment w:val="baseline"/>
        <w:rPr>
          <w:rStyle w:val="NormalCharacter"/>
          <w:rFonts w:ascii="宋体" w:eastAsia="宋体" w:hAnsi="宋体" w:cs="Times New Roman"/>
          <w:b/>
          <w:bCs/>
          <w:sz w:val="44"/>
          <w:szCs w:val="44"/>
        </w:rPr>
      </w:pPr>
      <w:r>
        <w:rPr>
          <w:rStyle w:val="NormalCharacter"/>
          <w:rFonts w:ascii="宋体" w:eastAsia="宋体" w:hAnsi="宋体" w:cs="Times New Roman" w:hint="eastAsia"/>
          <w:b/>
          <w:bCs/>
          <w:sz w:val="44"/>
          <w:szCs w:val="44"/>
        </w:rPr>
        <w:t>学位授权点建设</w:t>
      </w:r>
      <w:r>
        <w:rPr>
          <w:rStyle w:val="NormalCharacter"/>
          <w:rFonts w:ascii="宋体" w:eastAsia="宋体" w:hAnsi="宋体" w:cs="Times New Roman"/>
          <w:b/>
          <w:bCs/>
          <w:sz w:val="44"/>
          <w:szCs w:val="44"/>
        </w:rPr>
        <w:t>年度报告</w:t>
      </w:r>
    </w:p>
    <w:p w14:paraId="167B8612" w14:textId="78AC9B40" w:rsidR="00CC059E" w:rsidRDefault="00590E3A">
      <w:pPr>
        <w:widowControl/>
        <w:spacing w:after="156" w:line="560" w:lineRule="exact"/>
        <w:ind w:firstLine="883"/>
        <w:jc w:val="center"/>
        <w:textAlignment w:val="baseline"/>
        <w:rPr>
          <w:rStyle w:val="NormalCharacter"/>
          <w:rFonts w:ascii="宋体" w:eastAsia="宋体" w:hAnsi="宋体" w:cs="Times New Roman"/>
          <w:b/>
          <w:bCs/>
          <w:sz w:val="44"/>
          <w:szCs w:val="44"/>
        </w:rPr>
      </w:pPr>
      <w:r>
        <w:rPr>
          <w:rStyle w:val="NormalCharacter"/>
          <w:rFonts w:ascii="宋体" w:eastAsia="宋体" w:hAnsi="宋体" w:cs="Times New Roman" w:hint="eastAsia"/>
          <w:b/>
          <w:bCs/>
          <w:sz w:val="44"/>
          <w:szCs w:val="44"/>
        </w:rPr>
        <w:t>（</w:t>
      </w:r>
      <w:r>
        <w:rPr>
          <w:rStyle w:val="NormalCharacter"/>
          <w:rFonts w:ascii="宋体" w:hAnsi="宋体" w:cs="Times New Roman" w:hint="eastAsia"/>
          <w:b/>
          <w:bCs/>
          <w:sz w:val="44"/>
          <w:szCs w:val="44"/>
        </w:rPr>
        <w:t>2023</w:t>
      </w:r>
      <w:r>
        <w:rPr>
          <w:rStyle w:val="NormalCharacter"/>
          <w:rFonts w:ascii="宋体" w:eastAsia="宋体" w:hAnsi="宋体" w:cs="Times New Roman" w:hint="eastAsia"/>
          <w:b/>
          <w:bCs/>
          <w:sz w:val="44"/>
          <w:szCs w:val="44"/>
        </w:rPr>
        <w:t>年度）</w:t>
      </w:r>
    </w:p>
    <w:p w14:paraId="1BD328FF" w14:textId="77777777" w:rsidR="00CC059E" w:rsidRDefault="00CC059E">
      <w:pPr>
        <w:widowControl/>
        <w:spacing w:after="156" w:line="560" w:lineRule="exact"/>
        <w:ind w:firstLine="880"/>
        <w:jc w:val="center"/>
        <w:textAlignment w:val="baseline"/>
        <w:rPr>
          <w:rStyle w:val="NormalCharacter"/>
          <w:rFonts w:eastAsiaTheme="minorHAnsi" w:cs="Times New Roman"/>
          <w:bCs/>
          <w:sz w:val="44"/>
          <w:szCs w:val="44"/>
        </w:rPr>
      </w:pPr>
    </w:p>
    <w:p w14:paraId="0ED88AEB" w14:textId="77777777" w:rsidR="00CC059E" w:rsidRDefault="00CC059E">
      <w:pPr>
        <w:snapToGrid w:val="0"/>
        <w:ind w:firstLine="960"/>
        <w:jc w:val="center"/>
        <w:textAlignment w:val="baseline"/>
        <w:rPr>
          <w:rStyle w:val="NormalCharacter"/>
          <w:rFonts w:ascii="Times New Roman" w:eastAsiaTheme="minorEastAsia" w:hAnsi="Times New Roman" w:cs="Times New Roman"/>
          <w:b/>
          <w:sz w:val="48"/>
          <w:szCs w:val="20"/>
        </w:rPr>
      </w:pPr>
    </w:p>
    <w:p w14:paraId="24560967" w14:textId="77777777" w:rsidR="00CC059E" w:rsidRDefault="00CC059E">
      <w:pPr>
        <w:snapToGrid w:val="0"/>
        <w:ind w:firstLine="960"/>
        <w:jc w:val="center"/>
        <w:textAlignment w:val="baseline"/>
        <w:rPr>
          <w:rStyle w:val="NormalCharacter"/>
          <w:rFonts w:ascii="Times New Roman" w:eastAsiaTheme="minorEastAsia" w:hAnsi="Times New Roman" w:cs="Times New Roman"/>
          <w:b/>
          <w:sz w:val="48"/>
          <w:szCs w:val="20"/>
        </w:rPr>
      </w:pPr>
    </w:p>
    <w:p w14:paraId="13B37875" w14:textId="77777777" w:rsidR="00CC059E" w:rsidRDefault="00CC059E">
      <w:pPr>
        <w:snapToGrid w:val="0"/>
        <w:spacing w:line="300" w:lineRule="auto"/>
        <w:ind w:firstLine="640"/>
        <w:jc w:val="center"/>
        <w:textAlignment w:val="baseline"/>
        <w:rPr>
          <w:rStyle w:val="NormalCharacter"/>
          <w:rFonts w:ascii="Times New Roman" w:eastAsiaTheme="minorEastAsia" w:hAnsi="Times New Roman" w:cs="Times New Roman"/>
          <w:b/>
          <w:szCs w:val="32"/>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CC059E" w14:paraId="04933048" w14:textId="77777777">
        <w:trPr>
          <w:trHeight w:val="794"/>
          <w:jc w:val="center"/>
        </w:trPr>
        <w:tc>
          <w:tcPr>
            <w:tcW w:w="1507" w:type="dxa"/>
            <w:vMerge w:val="restart"/>
            <w:tcBorders>
              <w:top w:val="nil"/>
              <w:left w:val="nil"/>
              <w:bottom w:val="single" w:sz="4" w:space="0" w:color="000000"/>
              <w:right w:val="single" w:sz="4" w:space="0" w:color="000000"/>
            </w:tcBorders>
            <w:vAlign w:val="center"/>
          </w:tcPr>
          <w:p w14:paraId="6720D148" w14:textId="77777777" w:rsidR="00CC059E" w:rsidRDefault="005B731A">
            <w:pPr>
              <w:ind w:firstLineChars="100" w:firstLine="301"/>
              <w:rPr>
                <w:rStyle w:val="NormalCharacter"/>
                <w:rFonts w:ascii="宋体" w:eastAsia="宋体" w:hAnsi="宋体" w:cs="Times New Roman"/>
                <w:b/>
                <w:spacing w:val="-10"/>
                <w:szCs w:val="32"/>
              </w:rPr>
            </w:pPr>
            <w:r>
              <w:rPr>
                <w:rStyle w:val="NormalCharacter"/>
                <w:rFonts w:ascii="宋体" w:eastAsia="宋体" w:hAnsi="宋体" w:cs="Times New Roman" w:hint="eastAsia"/>
                <w:b/>
                <w:spacing w:val="-10"/>
                <w:szCs w:val="32"/>
              </w:rPr>
              <w:t>学院</w:t>
            </w:r>
          </w:p>
          <w:p w14:paraId="71099A82" w14:textId="77777777" w:rsidR="00CC059E" w:rsidRDefault="005B731A" w:rsidP="00485B6C">
            <w:pPr>
              <w:rPr>
                <w:rStyle w:val="NormalCharacter"/>
                <w:rFonts w:ascii="宋体" w:eastAsia="宋体" w:hAnsi="宋体" w:cs="Times New Roman"/>
                <w:b/>
                <w:spacing w:val="-10"/>
                <w:szCs w:val="32"/>
              </w:rPr>
            </w:pPr>
            <w:r>
              <w:rPr>
                <w:rStyle w:val="NormalCharacter"/>
                <w:rFonts w:ascii="宋体" w:eastAsia="宋体" w:hAnsi="宋体" w:cs="Times New Roman"/>
                <w:b/>
                <w:spacing w:val="-10"/>
                <w:szCs w:val="32"/>
              </w:rPr>
              <w:t>（公章）</w:t>
            </w:r>
          </w:p>
        </w:tc>
        <w:tc>
          <w:tcPr>
            <w:tcW w:w="3977" w:type="dxa"/>
            <w:tcBorders>
              <w:top w:val="nil"/>
              <w:left w:val="single" w:sz="4" w:space="0" w:color="000000"/>
              <w:bottom w:val="single" w:sz="4" w:space="0" w:color="000000"/>
              <w:right w:val="nil"/>
            </w:tcBorders>
            <w:vAlign w:val="center"/>
          </w:tcPr>
          <w:p w14:paraId="187967E3" w14:textId="77777777" w:rsidR="00CC059E" w:rsidRDefault="005B731A">
            <w:pPr>
              <w:ind w:firstLine="603"/>
              <w:rPr>
                <w:rStyle w:val="NormalCharacter"/>
                <w:rFonts w:ascii="宋体" w:eastAsia="宋体" w:hAnsi="宋体" w:cs="Times New Roman"/>
                <w:b/>
                <w:spacing w:val="-10"/>
                <w:szCs w:val="32"/>
              </w:rPr>
            </w:pPr>
            <w:r>
              <w:rPr>
                <w:rStyle w:val="NormalCharacter"/>
                <w:rFonts w:ascii="宋体" w:eastAsia="宋体" w:hAnsi="宋体" w:cs="Times New Roman"/>
                <w:b/>
                <w:spacing w:val="-10"/>
                <w:szCs w:val="32"/>
              </w:rPr>
              <w:t>名称：</w:t>
            </w:r>
            <w:r>
              <w:rPr>
                <w:rStyle w:val="NormalCharacter"/>
                <w:rFonts w:ascii="宋体" w:eastAsia="宋体" w:hAnsi="宋体" w:cs="Times New Roman"/>
                <w:b/>
                <w:spacing w:val="-10"/>
                <w:szCs w:val="32"/>
              </w:rPr>
              <w:t xml:space="preserve"> </w:t>
            </w:r>
            <w:r>
              <w:rPr>
                <w:rStyle w:val="NormalCharacter"/>
                <w:rFonts w:ascii="Times New Roman" w:eastAsia="宋体" w:hAnsi="Times New Roman" w:hint="eastAsia"/>
                <w:b/>
                <w:spacing w:val="-10"/>
                <w:szCs w:val="32"/>
              </w:rPr>
              <w:t>建筑学</w:t>
            </w:r>
          </w:p>
        </w:tc>
      </w:tr>
      <w:tr w:rsidR="00CC059E" w14:paraId="440BF666" w14:textId="77777777">
        <w:trPr>
          <w:trHeight w:val="794"/>
          <w:jc w:val="center"/>
        </w:trPr>
        <w:tc>
          <w:tcPr>
            <w:tcW w:w="1507" w:type="dxa"/>
            <w:vMerge/>
            <w:tcBorders>
              <w:top w:val="single" w:sz="4" w:space="0" w:color="000000"/>
              <w:left w:val="nil"/>
              <w:bottom w:val="nil"/>
              <w:right w:val="single" w:sz="4" w:space="0" w:color="000000"/>
            </w:tcBorders>
            <w:vAlign w:val="center"/>
          </w:tcPr>
          <w:p w14:paraId="1DAFF234" w14:textId="77777777" w:rsidR="00CC059E" w:rsidRDefault="00CC059E">
            <w:pPr>
              <w:ind w:firstLine="600"/>
              <w:rPr>
                <w:rStyle w:val="NormalCharacter"/>
                <w:rFonts w:ascii="Times New Roman" w:eastAsiaTheme="minorEastAsia" w:hAnsi="Times New Roman" w:cs="Times New Roman"/>
                <w:b/>
                <w:spacing w:val="-10"/>
                <w:szCs w:val="32"/>
              </w:rPr>
            </w:pPr>
          </w:p>
        </w:tc>
        <w:tc>
          <w:tcPr>
            <w:tcW w:w="3977" w:type="dxa"/>
            <w:tcBorders>
              <w:top w:val="single" w:sz="4" w:space="0" w:color="000000"/>
              <w:left w:val="single" w:sz="4" w:space="0" w:color="000000"/>
              <w:bottom w:val="nil"/>
              <w:right w:val="nil"/>
            </w:tcBorders>
            <w:vAlign w:val="center"/>
          </w:tcPr>
          <w:p w14:paraId="01EB89A3" w14:textId="77777777" w:rsidR="00CC059E" w:rsidRDefault="005B731A">
            <w:pPr>
              <w:ind w:firstLine="603"/>
              <w:rPr>
                <w:rStyle w:val="NormalCharacter"/>
                <w:rFonts w:ascii="宋体" w:eastAsia="宋体" w:hAnsi="宋体" w:cs="Times New Roman"/>
                <w:b/>
                <w:spacing w:val="-10"/>
                <w:szCs w:val="32"/>
              </w:rPr>
            </w:pPr>
            <w:r>
              <w:rPr>
                <w:rStyle w:val="NormalCharacter"/>
                <w:rFonts w:ascii="宋体" w:eastAsia="宋体" w:hAnsi="宋体" w:cs="Times New Roman"/>
                <w:b/>
                <w:spacing w:val="-10"/>
                <w:szCs w:val="32"/>
              </w:rPr>
              <w:t>代码：</w:t>
            </w:r>
            <w:r>
              <w:rPr>
                <w:rStyle w:val="NormalCharacter"/>
                <w:rFonts w:ascii="Times New Roman" w:eastAsia="宋体" w:hAnsi="Times New Roman" w:hint="eastAsia"/>
                <w:b/>
                <w:spacing w:val="-10"/>
                <w:szCs w:val="32"/>
              </w:rPr>
              <w:t>0851</w:t>
            </w:r>
          </w:p>
        </w:tc>
      </w:tr>
    </w:tbl>
    <w:p w14:paraId="19F88C23" w14:textId="77777777" w:rsidR="00CC059E" w:rsidRDefault="00CC059E">
      <w:pPr>
        <w:widowControl/>
        <w:snapToGrid w:val="0"/>
        <w:spacing w:line="300" w:lineRule="auto"/>
        <w:ind w:firstLine="960"/>
        <w:jc w:val="left"/>
        <w:textAlignment w:val="baseline"/>
        <w:rPr>
          <w:rStyle w:val="NormalCharacter"/>
          <w:rFonts w:ascii="Times New Roman" w:eastAsiaTheme="minorEastAsia" w:hAnsi="Times New Roman" w:cs="Times New Roman"/>
          <w:b/>
          <w:sz w:val="48"/>
          <w:szCs w:val="20"/>
        </w:rPr>
      </w:pPr>
    </w:p>
    <w:p w14:paraId="6F24E677" w14:textId="77777777" w:rsidR="00CC059E" w:rsidRDefault="00CC059E">
      <w:pPr>
        <w:spacing w:line="560" w:lineRule="exact"/>
        <w:ind w:firstLine="600"/>
        <w:jc w:val="center"/>
        <w:textAlignment w:val="baseline"/>
        <w:rPr>
          <w:rStyle w:val="NormalCharacter"/>
          <w:rFonts w:ascii="Times New Roman" w:eastAsiaTheme="minorEastAsia" w:hAnsi="Times New Roman" w:cs="Times New Roman"/>
          <w:b/>
          <w:sz w:val="30"/>
          <w:szCs w:val="30"/>
        </w:rPr>
      </w:pPr>
    </w:p>
    <w:p w14:paraId="75AA5591" w14:textId="77777777" w:rsidR="00CC059E" w:rsidRDefault="00CC059E">
      <w:pPr>
        <w:pStyle w:val="Heading3"/>
        <w:widowControl/>
        <w:rPr>
          <w:rStyle w:val="NormalCharacter"/>
          <w:rFonts w:ascii="Times New Roman" w:eastAsiaTheme="minorEastAsia" w:hAnsi="Times New Roman" w:cs="Times New Roman"/>
          <w:color w:val="auto"/>
        </w:rPr>
      </w:pPr>
    </w:p>
    <w:p w14:paraId="22A1A313" w14:textId="77777777" w:rsidR="00CC059E" w:rsidRDefault="00CC059E"/>
    <w:p w14:paraId="2DF9CC12" w14:textId="77777777" w:rsidR="00CC059E" w:rsidRDefault="00CC059E"/>
    <w:p w14:paraId="6316A2E8" w14:textId="77777777" w:rsidR="00CC059E" w:rsidRDefault="00CC059E">
      <w:pPr>
        <w:spacing w:line="560" w:lineRule="exact"/>
        <w:ind w:firstLine="600"/>
        <w:jc w:val="center"/>
        <w:textAlignment w:val="baseline"/>
        <w:rPr>
          <w:rStyle w:val="NormalCharacter"/>
          <w:rFonts w:ascii="Times New Roman" w:eastAsiaTheme="minorEastAsia" w:hAnsi="Times New Roman" w:cs="Times New Roman"/>
          <w:b/>
          <w:sz w:val="30"/>
          <w:szCs w:val="30"/>
        </w:rPr>
      </w:pPr>
    </w:p>
    <w:p w14:paraId="76748C59" w14:textId="77777777" w:rsidR="00CC059E" w:rsidRDefault="005B731A">
      <w:pPr>
        <w:widowControl/>
        <w:snapToGrid w:val="0"/>
        <w:spacing w:line="240" w:lineRule="atLeast"/>
        <w:ind w:firstLine="603"/>
        <w:jc w:val="center"/>
        <w:textAlignment w:val="baseline"/>
        <w:rPr>
          <w:rStyle w:val="NormalCharacter"/>
          <w:rFonts w:ascii="宋体" w:eastAsia="宋体" w:hAnsi="宋体" w:cs="Times New Roman"/>
          <w:b/>
          <w:spacing w:val="-10"/>
          <w:szCs w:val="32"/>
        </w:rPr>
      </w:pPr>
      <w:r>
        <w:rPr>
          <w:rStyle w:val="NormalCharacter"/>
          <w:rFonts w:ascii="宋体" w:eastAsia="宋体" w:hAnsi="宋体" w:cs="Times New Roman" w:hint="eastAsia"/>
          <w:b/>
          <w:spacing w:val="-10"/>
          <w:szCs w:val="32"/>
        </w:rPr>
        <w:t xml:space="preserve"> </w:t>
      </w:r>
      <w:r>
        <w:rPr>
          <w:rStyle w:val="NormalCharacter"/>
          <w:rFonts w:ascii="宋体" w:eastAsia="宋体" w:hAnsi="宋体" w:cs="Times New Roman"/>
          <w:b/>
          <w:spacing w:val="-10"/>
          <w:szCs w:val="32"/>
        </w:rPr>
        <w:t xml:space="preserve"> </w:t>
      </w:r>
      <w:r>
        <w:rPr>
          <w:rStyle w:val="NormalCharacter"/>
          <w:rFonts w:ascii="宋体" w:eastAsia="宋体" w:hAnsi="宋体" w:cs="Times New Roman" w:hint="eastAsia"/>
          <w:b/>
          <w:spacing w:val="-10"/>
          <w:szCs w:val="32"/>
        </w:rPr>
        <w:t>建筑学院</w:t>
      </w:r>
    </w:p>
    <w:p w14:paraId="70392C03" w14:textId="77777777" w:rsidR="00CC059E" w:rsidRDefault="00CC059E">
      <w:pPr>
        <w:snapToGrid w:val="0"/>
        <w:spacing w:line="240" w:lineRule="atLeast"/>
        <w:ind w:firstLine="603"/>
        <w:jc w:val="center"/>
        <w:textAlignment w:val="baseline"/>
        <w:rPr>
          <w:rStyle w:val="NormalCharacter"/>
          <w:rFonts w:ascii="宋体" w:eastAsia="宋体" w:hAnsi="宋体" w:cs="Times New Roman"/>
          <w:b/>
          <w:spacing w:val="-10"/>
          <w:szCs w:val="32"/>
        </w:rPr>
      </w:pPr>
    </w:p>
    <w:p w14:paraId="5C5A6EB1" w14:textId="77777777" w:rsidR="00CC059E" w:rsidRDefault="005B731A">
      <w:pPr>
        <w:widowControl/>
        <w:snapToGrid w:val="0"/>
        <w:spacing w:line="240" w:lineRule="atLeast"/>
        <w:ind w:firstLine="603"/>
        <w:jc w:val="center"/>
        <w:textAlignment w:val="baseline"/>
        <w:rPr>
          <w:rFonts w:ascii="仿宋" w:eastAsia="仿宋" w:hAnsi="仿宋" w:cs="Arial"/>
          <w:color w:val="000000"/>
          <w:kern w:val="0"/>
          <w:sz w:val="24"/>
          <w:szCs w:val="24"/>
        </w:rPr>
      </w:pPr>
      <w:r>
        <w:rPr>
          <w:rStyle w:val="NormalCharacter"/>
          <w:rFonts w:ascii="宋体" w:eastAsia="宋体" w:hAnsi="宋体" w:cs="Times New Roman"/>
          <w:b/>
          <w:spacing w:val="-10"/>
          <w:szCs w:val="32"/>
        </w:rPr>
        <w:t>20</w:t>
      </w:r>
      <w:r>
        <w:rPr>
          <w:rStyle w:val="NormalCharacter"/>
          <w:rFonts w:ascii="宋体" w:hAnsi="宋体" w:cs="Times New Roman" w:hint="eastAsia"/>
          <w:b/>
          <w:spacing w:val="-10"/>
          <w:szCs w:val="32"/>
        </w:rPr>
        <w:t>24</w:t>
      </w:r>
      <w:r>
        <w:rPr>
          <w:rStyle w:val="NormalCharacter"/>
          <w:rFonts w:ascii="宋体" w:eastAsia="宋体" w:hAnsi="宋体" w:cs="Times New Roman"/>
          <w:b/>
          <w:spacing w:val="-10"/>
          <w:szCs w:val="32"/>
        </w:rPr>
        <w:t xml:space="preserve"> </w:t>
      </w:r>
      <w:r>
        <w:rPr>
          <w:rStyle w:val="NormalCharacter"/>
          <w:rFonts w:ascii="宋体" w:eastAsia="宋体" w:hAnsi="宋体" w:cs="Times New Roman"/>
          <w:b/>
          <w:spacing w:val="-10"/>
          <w:szCs w:val="32"/>
        </w:rPr>
        <w:t>年</w:t>
      </w:r>
      <w:r>
        <w:rPr>
          <w:rStyle w:val="NormalCharacter"/>
          <w:rFonts w:ascii="宋体" w:eastAsia="宋体" w:hAnsi="宋体" w:cs="Times New Roman"/>
          <w:b/>
          <w:spacing w:val="-10"/>
          <w:szCs w:val="32"/>
        </w:rPr>
        <w:t xml:space="preserve"> </w:t>
      </w:r>
      <w:r>
        <w:rPr>
          <w:rStyle w:val="NormalCharacter"/>
          <w:rFonts w:ascii="宋体" w:hAnsi="宋体" w:cs="Times New Roman" w:hint="eastAsia"/>
          <w:b/>
          <w:spacing w:val="-10"/>
          <w:szCs w:val="32"/>
        </w:rPr>
        <w:t>05</w:t>
      </w:r>
      <w:r>
        <w:rPr>
          <w:rStyle w:val="NormalCharacter"/>
          <w:rFonts w:ascii="宋体" w:eastAsia="宋体" w:hAnsi="宋体" w:cs="Times New Roman"/>
          <w:b/>
          <w:spacing w:val="-10"/>
          <w:szCs w:val="32"/>
        </w:rPr>
        <w:t>月</w:t>
      </w:r>
      <w:r>
        <w:rPr>
          <w:rStyle w:val="NormalCharacter"/>
          <w:rFonts w:ascii="宋体" w:eastAsia="宋体" w:hAnsi="宋体" w:cs="Times New Roman"/>
          <w:b/>
          <w:spacing w:val="-10"/>
          <w:szCs w:val="32"/>
        </w:rPr>
        <w:t xml:space="preserve"> </w:t>
      </w:r>
      <w:r>
        <w:rPr>
          <w:rStyle w:val="NormalCharacter"/>
          <w:rFonts w:ascii="宋体" w:hAnsi="宋体" w:cs="Times New Roman" w:hint="eastAsia"/>
          <w:b/>
          <w:spacing w:val="-10"/>
          <w:szCs w:val="32"/>
        </w:rPr>
        <w:t>14</w:t>
      </w:r>
      <w:r>
        <w:rPr>
          <w:rStyle w:val="NormalCharacter"/>
          <w:rFonts w:ascii="宋体" w:eastAsia="宋体" w:hAnsi="宋体" w:cs="Times New Roman"/>
          <w:b/>
          <w:spacing w:val="-10"/>
          <w:szCs w:val="32"/>
        </w:rPr>
        <w:t xml:space="preserve"> </w:t>
      </w:r>
      <w:r>
        <w:rPr>
          <w:rStyle w:val="NormalCharacter"/>
          <w:rFonts w:ascii="宋体" w:eastAsia="宋体" w:hAnsi="宋体" w:cs="Times New Roman"/>
          <w:b/>
          <w:spacing w:val="-10"/>
          <w:szCs w:val="32"/>
        </w:rPr>
        <w:t>日</w:t>
      </w:r>
      <w:r>
        <w:rPr>
          <w:rFonts w:ascii="仿宋" w:eastAsia="仿宋" w:hAnsi="仿宋" w:cs="Courier New"/>
          <w:color w:val="000000"/>
          <w:kern w:val="0"/>
          <w:sz w:val="24"/>
          <w:szCs w:val="24"/>
        </w:rPr>
        <w:br w:type="page"/>
      </w:r>
    </w:p>
    <w:p w14:paraId="14556308" w14:textId="77777777" w:rsidR="00CC059E" w:rsidRDefault="005B731A" w:rsidP="00485B6C">
      <w:pPr>
        <w:pStyle w:val="2"/>
        <w:ind w:firstLine="643"/>
      </w:pPr>
      <w:r>
        <w:lastRenderedPageBreak/>
        <w:t>一、基本情况</w:t>
      </w:r>
    </w:p>
    <w:p w14:paraId="2AC4DE82" w14:textId="77777777" w:rsidR="00CC059E" w:rsidRDefault="005B731A" w:rsidP="00485B6C">
      <w:pPr>
        <w:pStyle w:val="3"/>
        <w:ind w:firstLine="643"/>
      </w:pPr>
      <w:r>
        <w:rPr>
          <w:rFonts w:hint="eastAsia"/>
        </w:rPr>
        <w:t>1</w:t>
      </w:r>
      <w:r>
        <w:t>.1</w:t>
      </w:r>
      <w:r>
        <w:t>学位授权点发展历史及内涵</w:t>
      </w:r>
    </w:p>
    <w:p w14:paraId="5D98E855" w14:textId="77777777" w:rsidR="00CC059E" w:rsidRDefault="005B731A">
      <w:pPr>
        <w:pStyle w:val="Default"/>
        <w:ind w:firstLine="560"/>
        <w:rPr>
          <w:rFonts w:ascii="宋体" w:eastAsia="宋体" w:hAnsi="宋体" w:cs="宋体"/>
          <w:color w:val="auto"/>
          <w:sz w:val="28"/>
          <w:szCs w:val="28"/>
        </w:rPr>
      </w:pPr>
      <w:r>
        <w:rPr>
          <w:rFonts w:ascii="宋体" w:eastAsia="宋体" w:hAnsi="宋体" w:cs="宋体" w:hint="eastAsia"/>
          <w:color w:val="auto"/>
          <w:sz w:val="28"/>
          <w:szCs w:val="28"/>
        </w:rPr>
        <w:t>建筑学专业始建于</w:t>
      </w:r>
      <w:r>
        <w:rPr>
          <w:rFonts w:ascii="宋体" w:eastAsia="宋体" w:hAnsi="宋体" w:cs="宋体" w:hint="eastAsia"/>
          <w:color w:val="auto"/>
          <w:sz w:val="28"/>
          <w:szCs w:val="28"/>
        </w:rPr>
        <w:t>1982</w:t>
      </w:r>
      <w:r>
        <w:rPr>
          <w:rFonts w:ascii="宋体" w:eastAsia="宋体" w:hAnsi="宋体" w:cs="宋体" w:hint="eastAsia"/>
          <w:color w:val="auto"/>
          <w:sz w:val="28"/>
          <w:szCs w:val="28"/>
        </w:rPr>
        <w:t>年。</w:t>
      </w:r>
      <w:r>
        <w:rPr>
          <w:rFonts w:ascii="宋体" w:eastAsia="宋体" w:hAnsi="宋体" w:cs="宋体" w:hint="eastAsia"/>
          <w:color w:val="auto"/>
          <w:sz w:val="28"/>
          <w:szCs w:val="28"/>
        </w:rPr>
        <w:t>2010</w:t>
      </w:r>
      <w:r>
        <w:rPr>
          <w:rFonts w:ascii="宋体" w:eastAsia="宋体" w:hAnsi="宋体" w:cs="宋体" w:hint="eastAsia"/>
          <w:color w:val="auto"/>
          <w:sz w:val="28"/>
          <w:szCs w:val="28"/>
        </w:rPr>
        <w:t>年，建筑学学科获</w:t>
      </w:r>
      <w:r>
        <w:rPr>
          <w:rFonts w:ascii="宋体" w:eastAsia="宋体" w:hAnsi="宋体" w:cs="宋体" w:hint="eastAsia"/>
          <w:color w:val="auto"/>
          <w:sz w:val="28"/>
          <w:szCs w:val="28"/>
        </w:rPr>
        <w:t>批一级学科硕士学位授权点，建筑学专业获批天津市品牌专业建设项目；</w:t>
      </w:r>
      <w:r>
        <w:rPr>
          <w:rFonts w:ascii="宋体" w:eastAsia="宋体" w:hAnsi="宋体" w:cs="宋体" w:hint="eastAsia"/>
          <w:color w:val="auto"/>
          <w:sz w:val="28"/>
          <w:szCs w:val="28"/>
        </w:rPr>
        <w:t>2011</w:t>
      </w:r>
      <w:r>
        <w:rPr>
          <w:rFonts w:ascii="宋体" w:eastAsia="宋体" w:hAnsi="宋体" w:cs="宋体" w:hint="eastAsia"/>
          <w:color w:val="auto"/>
          <w:sz w:val="28"/>
          <w:szCs w:val="28"/>
        </w:rPr>
        <w:t>年，建筑学专业通过全国高等学校建筑学专业教学评估；</w:t>
      </w:r>
      <w:r>
        <w:rPr>
          <w:rFonts w:ascii="宋体" w:eastAsia="宋体" w:hAnsi="宋体" w:cs="宋体" w:hint="eastAsia"/>
          <w:color w:val="auto"/>
          <w:sz w:val="28"/>
          <w:szCs w:val="28"/>
        </w:rPr>
        <w:t>2012</w:t>
      </w:r>
      <w:r>
        <w:rPr>
          <w:rFonts w:ascii="宋体" w:eastAsia="宋体" w:hAnsi="宋体" w:cs="宋体" w:hint="eastAsia"/>
          <w:color w:val="auto"/>
          <w:sz w:val="28"/>
          <w:szCs w:val="28"/>
        </w:rPr>
        <w:t>年起，建筑学学科成为天津市重点学科。</w:t>
      </w:r>
      <w:r>
        <w:rPr>
          <w:rFonts w:ascii="宋体" w:eastAsia="宋体" w:hAnsi="宋体" w:cs="宋体" w:hint="eastAsia"/>
          <w:color w:val="auto"/>
          <w:sz w:val="28"/>
          <w:szCs w:val="28"/>
        </w:rPr>
        <w:t>2015</w:t>
      </w:r>
      <w:r>
        <w:rPr>
          <w:rFonts w:ascii="宋体" w:eastAsia="宋体" w:hAnsi="宋体" w:cs="宋体" w:hint="eastAsia"/>
          <w:color w:val="auto"/>
          <w:sz w:val="28"/>
          <w:szCs w:val="28"/>
        </w:rPr>
        <w:t>年通过建筑学专业硕士评估，获批建筑学硕士专业学位授权点。</w:t>
      </w:r>
      <w:r>
        <w:rPr>
          <w:rFonts w:ascii="宋体" w:eastAsia="宋体" w:hAnsi="宋体" w:cs="宋体" w:hint="eastAsia"/>
          <w:color w:val="auto"/>
          <w:sz w:val="28"/>
          <w:szCs w:val="28"/>
        </w:rPr>
        <w:t>2017</w:t>
      </w:r>
      <w:r>
        <w:rPr>
          <w:rFonts w:ascii="宋体" w:eastAsia="宋体" w:hAnsi="宋体" w:cs="宋体" w:hint="eastAsia"/>
          <w:color w:val="auto"/>
          <w:sz w:val="28"/>
          <w:szCs w:val="28"/>
        </w:rPr>
        <w:t>年本学科牵头获批天津市优势特色学科群建设项目。</w:t>
      </w:r>
      <w:r>
        <w:rPr>
          <w:rFonts w:ascii="宋体" w:eastAsia="宋体" w:hAnsi="宋体" w:cs="宋体" w:hint="eastAsia"/>
          <w:color w:val="auto"/>
          <w:sz w:val="28"/>
          <w:szCs w:val="28"/>
        </w:rPr>
        <w:t>2019</w:t>
      </w:r>
      <w:r>
        <w:rPr>
          <w:rFonts w:ascii="宋体" w:eastAsia="宋体" w:hAnsi="宋体" w:cs="宋体" w:hint="eastAsia"/>
          <w:color w:val="auto"/>
          <w:sz w:val="28"/>
          <w:szCs w:val="28"/>
        </w:rPr>
        <w:t>年建筑学获批天津市一流本科专业建设点。</w:t>
      </w:r>
      <w:r>
        <w:rPr>
          <w:rFonts w:ascii="宋体" w:eastAsia="宋体" w:hAnsi="宋体" w:cs="宋体" w:hint="eastAsia"/>
          <w:color w:val="auto"/>
          <w:sz w:val="28"/>
          <w:szCs w:val="28"/>
        </w:rPr>
        <w:t>2019</w:t>
      </w:r>
      <w:r>
        <w:rPr>
          <w:rFonts w:ascii="宋体" w:eastAsia="宋体" w:hAnsi="宋体" w:cs="宋体" w:hint="eastAsia"/>
          <w:color w:val="auto"/>
          <w:sz w:val="28"/>
          <w:szCs w:val="28"/>
        </w:rPr>
        <w:t>年建筑学获批天津市一流本科专业建设点；</w:t>
      </w:r>
      <w:r>
        <w:rPr>
          <w:rFonts w:ascii="宋体" w:eastAsia="宋体" w:hAnsi="宋体" w:cs="宋体" w:hint="eastAsia"/>
          <w:color w:val="auto"/>
          <w:sz w:val="28"/>
          <w:szCs w:val="28"/>
        </w:rPr>
        <w:t>2020</w:t>
      </w:r>
      <w:r>
        <w:rPr>
          <w:rFonts w:ascii="宋体" w:eastAsia="宋体" w:hAnsi="宋体" w:cs="宋体" w:hint="eastAsia"/>
          <w:color w:val="auto"/>
          <w:sz w:val="28"/>
          <w:szCs w:val="28"/>
        </w:rPr>
        <w:t>年建筑学获批国家级一流本科专业建设点。</w:t>
      </w:r>
    </w:p>
    <w:p w14:paraId="4E15ED2E" w14:textId="77777777" w:rsidR="00CC059E" w:rsidRDefault="005B731A">
      <w:pPr>
        <w:pStyle w:val="Default"/>
        <w:ind w:firstLine="560"/>
        <w:rPr>
          <w:rFonts w:ascii="宋体" w:eastAsia="宋体" w:hAnsi="宋体" w:cs="宋体"/>
          <w:color w:val="auto"/>
          <w:sz w:val="28"/>
          <w:szCs w:val="28"/>
        </w:rPr>
      </w:pPr>
      <w:r>
        <w:rPr>
          <w:rFonts w:ascii="宋体" w:eastAsia="宋体" w:hAnsi="宋体" w:cs="宋体" w:hint="eastAsia"/>
          <w:color w:val="auto"/>
          <w:sz w:val="28"/>
          <w:szCs w:val="28"/>
        </w:rPr>
        <w:t>建筑学专业发展至今，依据学校办学定位，利用京津冀区域内的优质教育教学资源优势，以建筑学前</w:t>
      </w:r>
      <w:r>
        <w:rPr>
          <w:rFonts w:ascii="宋体" w:eastAsia="宋体" w:hAnsi="宋体" w:cs="宋体" w:hint="eastAsia"/>
          <w:color w:val="auto"/>
          <w:sz w:val="28"/>
          <w:szCs w:val="28"/>
        </w:rPr>
        <w:t>沿领域和城乡建设需求为导向，依托学校涵盖城市建设全部领域的学科群和专业群优势，聚焦提升人才的综合应用能力，逐步形成了立足区域、多元协同、注重实践的专业特色。</w:t>
      </w:r>
    </w:p>
    <w:p w14:paraId="3A38D18E" w14:textId="77777777" w:rsidR="00CC059E" w:rsidRDefault="005B731A">
      <w:pPr>
        <w:pStyle w:val="Default"/>
        <w:ind w:firstLine="560"/>
        <w:rPr>
          <w:rFonts w:ascii="宋体" w:eastAsia="宋体" w:hAnsi="宋体" w:cs="宋体"/>
          <w:color w:val="auto"/>
          <w:sz w:val="28"/>
          <w:szCs w:val="28"/>
        </w:rPr>
      </w:pPr>
      <w:r>
        <w:rPr>
          <w:rFonts w:ascii="宋体" w:eastAsia="宋体" w:hAnsi="宋体" w:cs="宋体" w:hint="eastAsia"/>
          <w:color w:val="auto"/>
          <w:sz w:val="28"/>
          <w:szCs w:val="28"/>
        </w:rPr>
        <w:t>拥有天津市新型工业化装配式建筑技术创新中心、天津市绿色住区建设技术工程中心、天津绿色建筑协同创新中心、天津市绿色建筑产业技术创新战略联盟、天津市城镇化与新农村建设研究中心、天津市建筑减碳科普基地</w:t>
      </w:r>
      <w:r>
        <w:rPr>
          <w:rFonts w:ascii="宋体" w:eastAsia="宋体" w:hAnsi="宋体" w:cs="宋体" w:hint="eastAsia"/>
          <w:color w:val="auto"/>
          <w:sz w:val="28"/>
          <w:szCs w:val="28"/>
        </w:rPr>
        <w:t>6</w:t>
      </w:r>
      <w:r>
        <w:rPr>
          <w:rFonts w:ascii="宋体" w:eastAsia="宋体" w:hAnsi="宋体" w:cs="宋体" w:hint="eastAsia"/>
          <w:color w:val="auto"/>
          <w:sz w:val="28"/>
          <w:szCs w:val="28"/>
        </w:rPr>
        <w:t>个省部级科研平台，与全国及天津市一流的建筑设计院所、企业共建了多个产学研基地。相关社会服务工作数十项，有力促进了建筑专业社会服务水平的提升。</w:t>
      </w:r>
    </w:p>
    <w:p w14:paraId="30CC183E" w14:textId="77777777" w:rsidR="00CC059E" w:rsidRDefault="005B731A" w:rsidP="00485B6C">
      <w:pPr>
        <w:pStyle w:val="3"/>
        <w:ind w:firstLine="643"/>
      </w:pPr>
      <w:r>
        <w:rPr>
          <w:rFonts w:hint="eastAsia"/>
        </w:rPr>
        <w:lastRenderedPageBreak/>
        <w:t>1</w:t>
      </w:r>
      <w:r>
        <w:t>.2</w:t>
      </w:r>
      <w:r>
        <w:t>培养目标与</w:t>
      </w:r>
      <w:r>
        <w:t>学位标准</w:t>
      </w:r>
    </w:p>
    <w:p w14:paraId="20CACC54" w14:textId="77777777" w:rsidR="00CC059E" w:rsidRDefault="005B731A" w:rsidP="00485B6C">
      <w:pPr>
        <w:pStyle w:val="4"/>
        <w:ind w:leftChars="0" w:left="0" w:firstLineChars="200" w:firstLine="562"/>
      </w:pPr>
      <w:r>
        <w:rPr>
          <w:rFonts w:ascii="黑体" w:hAnsi="黑体" w:cs="Arial"/>
        </w:rPr>
        <w:t>1.</w:t>
      </w:r>
      <w:r>
        <w:t>培养目标</w:t>
      </w:r>
    </w:p>
    <w:p w14:paraId="1F0D8923" w14:textId="0A715733" w:rsidR="00CC059E" w:rsidRDefault="005B731A">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本学位点坚持以立德树人</w:t>
      </w:r>
      <w:r>
        <w:rPr>
          <w:rFonts w:ascii="宋体" w:eastAsia="宋体" w:hAnsi="宋体" w:cs="宋体" w:hint="eastAsia"/>
          <w:color w:val="auto"/>
          <w:sz w:val="28"/>
          <w:szCs w:val="28"/>
        </w:rPr>
        <w:t>为</w:t>
      </w:r>
      <w:r w:rsidR="005348D4">
        <w:rPr>
          <w:rFonts w:ascii="宋体" w:eastAsia="宋体" w:hAnsi="宋体" w:cs="宋体" w:hint="eastAsia"/>
          <w:color w:val="auto"/>
          <w:sz w:val="28"/>
          <w:szCs w:val="28"/>
        </w:rPr>
        <w:t>根本任务</w:t>
      </w:r>
      <w:r>
        <w:rPr>
          <w:rFonts w:ascii="宋体" w:eastAsia="宋体" w:hAnsi="宋体" w:cs="宋体" w:hint="eastAsia"/>
          <w:color w:val="auto"/>
          <w:sz w:val="28"/>
          <w:szCs w:val="28"/>
        </w:rPr>
        <w:t>，培养拥护党的基本路线和方针政策、热爱祖国、遵纪守法，具有良好的职业道德和敬业精神，科学严谨、求真务实的学习态度和工作作风，能在建筑学领域从事研究工作和工程设计的高级人才。</w:t>
      </w:r>
    </w:p>
    <w:p w14:paraId="6552B64A" w14:textId="77777777" w:rsidR="00CC059E" w:rsidRPr="00485B6C" w:rsidRDefault="005B731A" w:rsidP="00485B6C">
      <w:pPr>
        <w:pStyle w:val="4"/>
        <w:ind w:leftChars="0" w:left="0" w:firstLineChars="200" w:firstLine="562"/>
        <w:rPr>
          <w:rFonts w:ascii="黑体" w:hAnsi="黑体" w:cs="Arial"/>
        </w:rPr>
      </w:pPr>
      <w:r w:rsidRPr="00485B6C">
        <w:rPr>
          <w:rFonts w:ascii="黑体" w:hAnsi="黑体" w:cs="Arial" w:hint="eastAsia"/>
        </w:rPr>
        <w:t>2</w:t>
      </w:r>
      <w:r w:rsidRPr="00485B6C">
        <w:rPr>
          <w:rFonts w:ascii="黑体" w:hAnsi="黑体" w:cs="Arial"/>
        </w:rPr>
        <w:t>.</w:t>
      </w:r>
      <w:r w:rsidRPr="00485B6C">
        <w:rPr>
          <w:rFonts w:ascii="黑体" w:hAnsi="黑体" w:cs="Arial"/>
        </w:rPr>
        <w:t>学位标准</w:t>
      </w:r>
    </w:p>
    <w:p w14:paraId="31282607" w14:textId="77777777" w:rsidR="00CC059E" w:rsidRDefault="005B731A">
      <w:pPr>
        <w:widowControl/>
        <w:shd w:val="clear" w:color="auto" w:fill="FFFFFF"/>
        <w:ind w:firstLineChars="200" w:firstLine="560"/>
        <w:jc w:val="left"/>
        <w:rPr>
          <w:rFonts w:ascii="宋体" w:hAnsi="宋体" w:cs="Arial"/>
          <w:color w:val="000000"/>
          <w:kern w:val="0"/>
          <w:szCs w:val="28"/>
        </w:rPr>
      </w:pPr>
      <w:r>
        <w:rPr>
          <w:rFonts w:ascii="宋体" w:hAnsi="宋体" w:cs="Arial"/>
          <w:color w:val="000000"/>
          <w:kern w:val="0"/>
          <w:szCs w:val="28"/>
        </w:rPr>
        <w:t>本学位点学位授予条件，按照《</w:t>
      </w:r>
      <w:r>
        <w:rPr>
          <w:rFonts w:ascii="宋体" w:hAnsi="宋体" w:cs="Arial" w:hint="eastAsia"/>
          <w:color w:val="000000"/>
          <w:kern w:val="0"/>
          <w:szCs w:val="28"/>
        </w:rPr>
        <w:t>天津城建大学硕士学位授予工作实施办法</w:t>
      </w:r>
      <w:r>
        <w:rPr>
          <w:rFonts w:ascii="宋体" w:hAnsi="宋体" w:cs="Arial"/>
          <w:color w:val="000000"/>
          <w:kern w:val="0"/>
          <w:szCs w:val="28"/>
        </w:rPr>
        <w:t>》（</w:t>
      </w:r>
      <w:r>
        <w:rPr>
          <w:rFonts w:ascii="宋体" w:hAnsi="宋体" w:cs="Arial" w:hint="eastAsia"/>
          <w:color w:val="000000"/>
          <w:kern w:val="0"/>
          <w:szCs w:val="28"/>
        </w:rPr>
        <w:t>天城大政〔</w:t>
      </w:r>
      <w:r>
        <w:rPr>
          <w:rFonts w:ascii="宋体" w:hAnsi="宋体" w:cs="Arial"/>
          <w:color w:val="000000"/>
          <w:kern w:val="0"/>
          <w:szCs w:val="28"/>
        </w:rPr>
        <w:t>2021</w:t>
      </w:r>
      <w:r>
        <w:rPr>
          <w:rFonts w:ascii="宋体" w:hAnsi="宋体" w:cs="Arial"/>
          <w:color w:val="000000"/>
          <w:kern w:val="0"/>
          <w:szCs w:val="28"/>
        </w:rPr>
        <w:t>〕</w:t>
      </w:r>
      <w:r>
        <w:rPr>
          <w:rFonts w:ascii="宋体" w:hAnsi="宋体" w:cs="Arial"/>
          <w:color w:val="000000"/>
          <w:kern w:val="0"/>
          <w:szCs w:val="28"/>
        </w:rPr>
        <w:t>44</w:t>
      </w:r>
      <w:r>
        <w:rPr>
          <w:rFonts w:ascii="宋体" w:hAnsi="宋体" w:cs="Arial"/>
          <w:color w:val="000000"/>
          <w:kern w:val="0"/>
          <w:szCs w:val="28"/>
        </w:rPr>
        <w:t>号）执行。</w:t>
      </w:r>
      <w:r>
        <w:rPr>
          <w:rFonts w:ascii="宋体" w:hAnsi="宋体" w:cs="Arial" w:hint="eastAsia"/>
          <w:color w:val="000000"/>
          <w:kern w:val="0"/>
          <w:szCs w:val="28"/>
        </w:rPr>
        <w:t>须</w:t>
      </w:r>
      <w:r>
        <w:rPr>
          <w:rFonts w:ascii="宋体" w:hAnsi="宋体" w:cs="Arial"/>
          <w:color w:val="000000"/>
          <w:kern w:val="0"/>
          <w:szCs w:val="28"/>
        </w:rPr>
        <w:t>符合</w:t>
      </w:r>
      <w:r>
        <w:rPr>
          <w:rFonts w:ascii="宋体" w:hAnsi="宋体" w:cs="Arial" w:hint="eastAsia"/>
          <w:color w:val="000000"/>
          <w:kern w:val="0"/>
          <w:szCs w:val="28"/>
        </w:rPr>
        <w:t>：</w:t>
      </w:r>
    </w:p>
    <w:p w14:paraId="6C4798A8" w14:textId="77777777" w:rsidR="00CC059E" w:rsidRDefault="005B731A">
      <w:pPr>
        <w:widowControl/>
        <w:shd w:val="clear" w:color="auto" w:fill="FFFFFF"/>
        <w:ind w:firstLineChars="200" w:firstLine="560"/>
        <w:jc w:val="left"/>
        <w:rPr>
          <w:rFonts w:ascii="宋体" w:hAnsi="宋体" w:cs="Arial"/>
          <w:color w:val="000000"/>
          <w:kern w:val="0"/>
          <w:szCs w:val="28"/>
        </w:rPr>
      </w:pPr>
      <w:r>
        <w:rPr>
          <w:rFonts w:ascii="宋体" w:hAnsi="宋体" w:cs="Arial" w:hint="eastAsia"/>
          <w:color w:val="000000"/>
          <w:kern w:val="0"/>
          <w:szCs w:val="28"/>
        </w:rPr>
        <w:t>（一）拥护中国共产党的领导，拥护社会主义制度，热爱祖国，遵纪守法，有较强的社会责任感，愿意为社会主义现代化建设服务；</w:t>
      </w:r>
    </w:p>
    <w:p w14:paraId="11B85521" w14:textId="77777777" w:rsidR="00CC059E" w:rsidRDefault="005B731A">
      <w:pPr>
        <w:widowControl/>
        <w:shd w:val="clear" w:color="auto" w:fill="FFFFFF"/>
        <w:ind w:firstLineChars="200" w:firstLine="560"/>
        <w:jc w:val="left"/>
        <w:rPr>
          <w:rFonts w:ascii="宋体" w:hAnsi="宋体" w:cs="Arial"/>
          <w:color w:val="000000"/>
          <w:kern w:val="0"/>
          <w:szCs w:val="28"/>
        </w:rPr>
      </w:pPr>
      <w:r>
        <w:rPr>
          <w:rFonts w:ascii="宋体" w:hAnsi="宋体" w:cs="Arial" w:hint="eastAsia"/>
          <w:color w:val="000000"/>
          <w:kern w:val="0"/>
          <w:szCs w:val="28"/>
        </w:rPr>
        <w:t>（二）在规定学习期限内，完成本人培养计划中全部课程学习及必修环节，取得规定学分；</w:t>
      </w:r>
    </w:p>
    <w:p w14:paraId="67A67C46" w14:textId="6E244F54" w:rsidR="00CC059E" w:rsidRDefault="005B731A">
      <w:pPr>
        <w:widowControl/>
        <w:shd w:val="clear" w:color="auto" w:fill="FFFFFF"/>
        <w:ind w:firstLineChars="200" w:firstLine="560"/>
        <w:jc w:val="left"/>
        <w:rPr>
          <w:rFonts w:ascii="宋体" w:hAnsi="宋体" w:cs="Arial"/>
          <w:color w:val="000000"/>
          <w:kern w:val="0"/>
          <w:szCs w:val="28"/>
        </w:rPr>
      </w:pPr>
      <w:r>
        <w:rPr>
          <w:rFonts w:ascii="宋体" w:hAnsi="宋体" w:cs="Arial" w:hint="eastAsia"/>
          <w:color w:val="000000"/>
          <w:kern w:val="0"/>
          <w:szCs w:val="28"/>
        </w:rPr>
        <w:t>（三）完成学位论文研究和撰写工作</w:t>
      </w:r>
      <w:r w:rsidR="00590E3A">
        <w:rPr>
          <w:rFonts w:ascii="宋体" w:hAnsi="宋体" w:cs="Arial" w:hint="eastAsia"/>
          <w:color w:val="000000"/>
          <w:kern w:val="0"/>
          <w:szCs w:val="28"/>
        </w:rPr>
        <w:t>且</w:t>
      </w:r>
      <w:r>
        <w:rPr>
          <w:rFonts w:ascii="宋体" w:hAnsi="宋体" w:cs="Arial" w:hint="eastAsia"/>
          <w:color w:val="000000"/>
          <w:kern w:val="0"/>
          <w:szCs w:val="28"/>
        </w:rPr>
        <w:t>通过论文答辩；</w:t>
      </w:r>
    </w:p>
    <w:p w14:paraId="78FA667D" w14:textId="77777777" w:rsidR="00CC059E" w:rsidRDefault="005B731A">
      <w:pPr>
        <w:spacing w:line="360" w:lineRule="auto"/>
        <w:ind w:firstLine="560"/>
        <w:rPr>
          <w:szCs w:val="28"/>
        </w:rPr>
      </w:pPr>
      <w:r>
        <w:rPr>
          <w:rFonts w:hint="eastAsia"/>
          <w:szCs w:val="28"/>
        </w:rPr>
        <w:t>（四）取得一定的学术成果，学术成果要求由各学位评定分委员会根据学科专业特点和评估要求，按学术学位与专业学位分别制订，并经校学位评定委员会审定；</w:t>
      </w:r>
    </w:p>
    <w:p w14:paraId="393ABA2E" w14:textId="77777777" w:rsidR="00CC059E" w:rsidRDefault="005B731A">
      <w:pPr>
        <w:spacing w:line="360" w:lineRule="auto"/>
        <w:ind w:firstLine="560"/>
        <w:rPr>
          <w:szCs w:val="28"/>
        </w:rPr>
      </w:pPr>
      <w:r>
        <w:rPr>
          <w:rFonts w:hint="eastAsia"/>
          <w:szCs w:val="28"/>
        </w:rPr>
        <w:t>（五）未同时向另一个学位授予单位提出学位申请（学校与其他高校联合培养，明确授予双方学位的情况除外）。</w:t>
      </w:r>
    </w:p>
    <w:p w14:paraId="1D05386D" w14:textId="77777777" w:rsidR="00CC059E" w:rsidRDefault="005B731A" w:rsidP="00485B6C">
      <w:pPr>
        <w:pStyle w:val="2"/>
        <w:ind w:firstLine="643"/>
      </w:pPr>
      <w:r>
        <w:lastRenderedPageBreak/>
        <w:t>二、基本条件</w:t>
      </w:r>
    </w:p>
    <w:p w14:paraId="6C526C89" w14:textId="77777777" w:rsidR="00CC059E" w:rsidRDefault="005B731A" w:rsidP="00485B6C">
      <w:pPr>
        <w:pStyle w:val="3"/>
        <w:ind w:firstLine="643"/>
      </w:pPr>
      <w:r>
        <w:rPr>
          <w:rFonts w:hint="eastAsia"/>
        </w:rPr>
        <w:t>2</w:t>
      </w:r>
      <w:r>
        <w:rPr>
          <w:rFonts w:hint="eastAsia"/>
        </w:rPr>
        <w:t>.1</w:t>
      </w:r>
      <w:r>
        <w:rPr>
          <w:rFonts w:hint="eastAsia"/>
        </w:rPr>
        <w:t>培养特色</w:t>
      </w:r>
    </w:p>
    <w:p w14:paraId="311AB3CA" w14:textId="77777777" w:rsidR="00CC059E" w:rsidRDefault="005B731A" w:rsidP="00485B6C">
      <w:pPr>
        <w:pStyle w:val="4"/>
        <w:ind w:leftChars="0" w:left="0" w:firstLineChars="200" w:firstLine="562"/>
      </w:pPr>
      <w:r>
        <w:rPr>
          <w:rFonts w:hint="eastAsia"/>
        </w:rPr>
        <w:t>（</w:t>
      </w:r>
      <w:r>
        <w:rPr>
          <w:rFonts w:hint="eastAsia"/>
        </w:rPr>
        <w:t>1</w:t>
      </w:r>
      <w:r>
        <w:rPr>
          <w:rFonts w:hint="eastAsia"/>
        </w:rPr>
        <w:t>）建筑遗产保护与可持续利用</w:t>
      </w:r>
    </w:p>
    <w:p w14:paraId="68701523" w14:textId="77777777" w:rsidR="00CC059E" w:rsidRDefault="005B731A">
      <w:pPr>
        <w:pStyle w:val="Default"/>
        <w:ind w:firstLine="560"/>
        <w:rPr>
          <w:rFonts w:ascii="宋体" w:eastAsia="宋体" w:hAnsi="宋体" w:cs="宋体"/>
          <w:color w:val="auto"/>
          <w:sz w:val="28"/>
          <w:szCs w:val="28"/>
        </w:rPr>
      </w:pPr>
      <w:r>
        <w:rPr>
          <w:rFonts w:ascii="宋体" w:eastAsia="宋体" w:hAnsi="宋体" w:cs="宋体" w:hint="eastAsia"/>
          <w:color w:val="auto"/>
          <w:sz w:val="28"/>
          <w:szCs w:val="28"/>
        </w:rPr>
        <w:t>涵盖建筑遗产的保护理论、修复技术、活化利用、遗产价值评估、历史街区更新与保护。针对天津丰富的历史建筑文化遗产，尤其是红色建筑遗产、线性文化遗产的挖掘、保护、传承与利用方面，具有深厚的研究基础和实践经验，具有综合应用数字技术、定量分析等跨学科手段，进行数据获取、储存、分析、保护设计的数字化研究优势与地域特色。</w:t>
      </w:r>
    </w:p>
    <w:p w14:paraId="2EE7C7DE" w14:textId="77777777" w:rsidR="00CC059E" w:rsidRDefault="005B731A" w:rsidP="00485B6C">
      <w:pPr>
        <w:pStyle w:val="4"/>
        <w:ind w:leftChars="0" w:left="0" w:firstLineChars="200" w:firstLine="562"/>
      </w:pPr>
      <w:r>
        <w:rPr>
          <w:rFonts w:hint="eastAsia"/>
        </w:rPr>
        <w:t>（</w:t>
      </w:r>
      <w:r>
        <w:rPr>
          <w:rFonts w:hint="eastAsia"/>
        </w:rPr>
        <w:t>2</w:t>
      </w:r>
      <w:r>
        <w:rPr>
          <w:rFonts w:hint="eastAsia"/>
        </w:rPr>
        <w:t>）绿色低碳建筑与评价</w:t>
      </w:r>
    </w:p>
    <w:p w14:paraId="0CEB558F" w14:textId="77777777" w:rsidR="00CC059E" w:rsidRDefault="005B731A">
      <w:pPr>
        <w:pStyle w:val="Default"/>
        <w:ind w:firstLine="560"/>
        <w:rPr>
          <w:rFonts w:ascii="宋体" w:eastAsia="宋体" w:hAnsi="宋体" w:cs="宋体"/>
          <w:color w:val="auto"/>
          <w:sz w:val="28"/>
          <w:szCs w:val="28"/>
        </w:rPr>
      </w:pPr>
      <w:r>
        <w:rPr>
          <w:rFonts w:ascii="宋体" w:eastAsia="宋体" w:hAnsi="宋体" w:cs="宋体" w:hint="eastAsia"/>
          <w:color w:val="auto"/>
          <w:sz w:val="28"/>
          <w:szCs w:val="28"/>
        </w:rPr>
        <w:t>专注于绿色建筑设计、建筑能效提升、可再生能源建筑应用、建筑环境控制、低碳建筑评估体系。响应国家“双碳”目标，依托天津市绿色住区建设技术工程中心、天津绿色建筑协同创新中心、天津市</w:t>
      </w:r>
      <w:r>
        <w:rPr>
          <w:rFonts w:ascii="宋体" w:eastAsia="宋体" w:hAnsi="宋体" w:cs="宋体" w:hint="eastAsia"/>
          <w:color w:val="auto"/>
          <w:sz w:val="28"/>
          <w:szCs w:val="28"/>
        </w:rPr>
        <w:t>绿色建筑产业技术创新战略联盟、天津市建筑减碳科普基地，组建绿色建筑技术研究所、公共空间低碳设计研究所、低碳营造技术研究所等团队，推动绿色建筑技术的研究与实践。在绿色建筑评价方面具有领先优势，为建筑行业的可持续发展提供了科学指导。</w:t>
      </w:r>
    </w:p>
    <w:p w14:paraId="3B3E147C" w14:textId="07D88791" w:rsidR="00CC059E" w:rsidRDefault="00485B6C" w:rsidP="00485B6C">
      <w:pPr>
        <w:pStyle w:val="4"/>
        <w:ind w:leftChars="0" w:left="0" w:firstLineChars="200" w:firstLine="562"/>
      </w:pPr>
      <w:r>
        <w:rPr>
          <w:rFonts w:hint="eastAsia"/>
        </w:rPr>
        <w:lastRenderedPageBreak/>
        <w:t>（</w:t>
      </w:r>
      <w:r>
        <w:rPr>
          <w:rFonts w:hint="eastAsia"/>
        </w:rPr>
        <w:t>3</w:t>
      </w:r>
      <w:r>
        <w:rPr>
          <w:rFonts w:hint="eastAsia"/>
        </w:rPr>
        <w:t>）城市更新与乡村振兴</w:t>
      </w:r>
    </w:p>
    <w:p w14:paraId="57A4A21A" w14:textId="77777777" w:rsidR="00CC059E" w:rsidRDefault="005B731A">
      <w:pPr>
        <w:ind w:firstLineChars="200" w:firstLine="560"/>
      </w:pPr>
      <w:r>
        <w:t>涉及城市空间优化、老旧小区改造、乡村规划与建设、社区活化、城乡融合发展策略。依托天津市城镇化与新农村建设研究中心，组建城市更新与空间治理研究中心，在城市更新、老旧小区改造和乡村振兴方面具有丰富的理论研究和实践经验。通过整合多学科资源、联合</w:t>
      </w:r>
      <w:r>
        <w:t>BIM</w:t>
      </w:r>
      <w:r>
        <w:t>与数字建筑研</w:t>
      </w:r>
      <w:r>
        <w:t>究所共同推动城市更新项目的工业化创新研究与实施，为城乡高质量发展提供创新思路和实践案例。</w:t>
      </w:r>
    </w:p>
    <w:p w14:paraId="61EB9D1B" w14:textId="77777777" w:rsidR="00CC059E" w:rsidRDefault="005B731A" w:rsidP="00485B6C">
      <w:pPr>
        <w:pStyle w:val="4"/>
        <w:ind w:leftChars="0" w:left="0" w:firstLineChars="200" w:firstLine="562"/>
      </w:pPr>
      <w:r>
        <w:rPr>
          <w:rFonts w:hint="eastAsia"/>
        </w:rPr>
        <w:t>（</w:t>
      </w:r>
      <w:r>
        <w:rPr>
          <w:rFonts w:hint="eastAsia"/>
        </w:rPr>
        <w:t>4</w:t>
      </w:r>
      <w:r>
        <w:rPr>
          <w:rFonts w:hint="eastAsia"/>
        </w:rPr>
        <w:t>）新型建筑工业化与装配式</w:t>
      </w:r>
    </w:p>
    <w:p w14:paraId="26F6F099" w14:textId="662A1F3E" w:rsidR="00CC059E" w:rsidRDefault="005B731A">
      <w:pPr>
        <w:pStyle w:val="Default"/>
        <w:ind w:firstLine="560"/>
        <w:rPr>
          <w:rFonts w:ascii="宋体" w:hAnsi="宋体" w:cs="Arial"/>
          <w:szCs w:val="28"/>
        </w:rPr>
      </w:pPr>
      <w:r>
        <w:rPr>
          <w:rFonts w:ascii="宋体" w:eastAsia="宋体" w:hAnsi="宋体" w:cs="宋体" w:hint="eastAsia"/>
          <w:color w:val="auto"/>
          <w:sz w:val="28"/>
          <w:szCs w:val="28"/>
        </w:rPr>
        <w:t>聚焦新型建筑工业化产业升级，开展面向制造与装配的设计、建筑工业化流程优化、智能建造体系、预制建筑部品设计与优化、建筑信息模型</w:t>
      </w:r>
      <w:r w:rsidR="00590E3A">
        <w:rPr>
          <w:rFonts w:ascii="宋体" w:eastAsia="宋体" w:hAnsi="宋体" w:cs="宋体" w:hint="eastAsia"/>
          <w:color w:val="auto"/>
          <w:sz w:val="28"/>
          <w:szCs w:val="28"/>
        </w:rPr>
        <w:t>（</w:t>
      </w:r>
      <w:r>
        <w:rPr>
          <w:rFonts w:ascii="宋体" w:eastAsia="宋体" w:hAnsi="宋体" w:cs="宋体" w:hint="eastAsia"/>
          <w:color w:val="auto"/>
          <w:sz w:val="28"/>
          <w:szCs w:val="28"/>
        </w:rPr>
        <w:t>BIM</w:t>
      </w:r>
      <w:r w:rsidR="00590E3A">
        <w:rPr>
          <w:rFonts w:ascii="宋体" w:eastAsia="宋体" w:hAnsi="宋体" w:cs="宋体" w:hint="eastAsia"/>
          <w:color w:val="auto"/>
          <w:sz w:val="28"/>
          <w:szCs w:val="28"/>
        </w:rPr>
        <w:t>）</w:t>
      </w:r>
      <w:r>
        <w:rPr>
          <w:rFonts w:ascii="宋体" w:eastAsia="宋体" w:hAnsi="宋体" w:cs="宋体" w:hint="eastAsia"/>
          <w:color w:val="auto"/>
          <w:sz w:val="28"/>
          <w:szCs w:val="28"/>
        </w:rPr>
        <w:t>在装配式建筑中的应用等领域研究。联合多家科研机构及企业，组建天津市新型工业化装配式建筑技术创新中心，在新型建筑工业化、装配式建筑设计、构造与建造创新方面具有显著优势。通过产教融合，推动了装配式建筑技术的研究与应用，形成了一系列创新技术和标准，引领区域建筑产业转型升级。</w:t>
      </w:r>
    </w:p>
    <w:p w14:paraId="6A78E49D" w14:textId="77777777" w:rsidR="00CC059E" w:rsidRDefault="005B731A">
      <w:pPr>
        <w:pStyle w:val="3"/>
        <w:ind w:firstLine="643"/>
        <w:rPr>
          <w:rStyle w:val="30"/>
          <w:b/>
          <w:bCs/>
        </w:rPr>
      </w:pPr>
      <w:r>
        <w:rPr>
          <w:rStyle w:val="30"/>
          <w:rFonts w:hint="eastAsia"/>
          <w:b/>
          <w:bCs/>
        </w:rPr>
        <w:t>2</w:t>
      </w:r>
      <w:r>
        <w:rPr>
          <w:rStyle w:val="30"/>
          <w:b/>
          <w:bCs/>
        </w:rPr>
        <w:t>.2</w:t>
      </w:r>
      <w:r>
        <w:rPr>
          <w:rStyle w:val="30"/>
          <w:b/>
          <w:bCs/>
        </w:rPr>
        <w:t>师资队伍</w:t>
      </w:r>
    </w:p>
    <w:p w14:paraId="3AE73C5E" w14:textId="77777777" w:rsidR="00CC059E" w:rsidRPr="00485B6C" w:rsidRDefault="005B731A">
      <w:pPr>
        <w:widowControl/>
        <w:ind w:firstLineChars="200" w:firstLine="560"/>
        <w:rPr>
          <w:rFonts w:ascii="宋体" w:hAnsi="宋体" w:cs="Times New Roman"/>
        </w:rPr>
      </w:pPr>
      <w:r w:rsidRPr="00485B6C">
        <w:rPr>
          <w:rFonts w:ascii="宋体" w:hAnsi="宋体" w:cs="Times New Roman"/>
        </w:rPr>
        <w:t>本学位点现有专任教师</w:t>
      </w:r>
      <w:r w:rsidRPr="00485B6C">
        <w:rPr>
          <w:rFonts w:ascii="宋体" w:hAnsi="宋体" w:cs="Times New Roman"/>
        </w:rPr>
        <w:t>45</w:t>
      </w:r>
      <w:r w:rsidRPr="00485B6C">
        <w:rPr>
          <w:rFonts w:ascii="宋体" w:hAnsi="宋体" w:cs="Times New Roman"/>
        </w:rPr>
        <w:t>人，其中正教授</w:t>
      </w:r>
      <w:r w:rsidRPr="00485B6C">
        <w:rPr>
          <w:rFonts w:ascii="宋体" w:hAnsi="宋体" w:cs="Times New Roman"/>
        </w:rPr>
        <w:t>8</w:t>
      </w:r>
      <w:r w:rsidRPr="00485B6C">
        <w:rPr>
          <w:rFonts w:ascii="宋体" w:hAnsi="宋体" w:cs="Times New Roman"/>
        </w:rPr>
        <w:t>人（</w:t>
      </w:r>
      <w:r w:rsidRPr="00485B6C">
        <w:rPr>
          <w:rFonts w:ascii="宋体" w:hAnsi="宋体" w:cs="Times New Roman"/>
        </w:rPr>
        <w:t>17.78%</w:t>
      </w:r>
      <w:r w:rsidRPr="00485B6C">
        <w:rPr>
          <w:rFonts w:ascii="宋体" w:hAnsi="宋体" w:cs="Times New Roman"/>
        </w:rPr>
        <w:t>），副教授</w:t>
      </w:r>
      <w:r w:rsidRPr="00485B6C">
        <w:rPr>
          <w:rFonts w:ascii="宋体" w:hAnsi="宋体" w:cs="Times New Roman"/>
        </w:rPr>
        <w:t>16</w:t>
      </w:r>
      <w:r w:rsidRPr="00485B6C">
        <w:rPr>
          <w:rFonts w:ascii="宋体" w:hAnsi="宋体" w:cs="Times New Roman"/>
        </w:rPr>
        <w:t>人（</w:t>
      </w:r>
      <w:r w:rsidRPr="00485B6C">
        <w:rPr>
          <w:rFonts w:ascii="宋体" w:hAnsi="宋体" w:cs="Times New Roman"/>
        </w:rPr>
        <w:t>35.56%</w:t>
      </w:r>
      <w:r w:rsidRPr="00485B6C">
        <w:rPr>
          <w:rFonts w:ascii="宋体" w:hAnsi="宋体" w:cs="Times New Roman"/>
        </w:rPr>
        <w:t>），</w:t>
      </w:r>
      <w:r w:rsidRPr="00485B6C">
        <w:rPr>
          <w:rFonts w:ascii="宋体" w:hAnsi="宋体" w:cs="Times New Roman"/>
        </w:rPr>
        <w:t>97.78%</w:t>
      </w:r>
      <w:r w:rsidRPr="00485B6C">
        <w:rPr>
          <w:rFonts w:ascii="宋体" w:hAnsi="宋体" w:cs="Times New Roman"/>
        </w:rPr>
        <w:t>具有硕士及以上研究生学历，</w:t>
      </w:r>
      <w:r w:rsidRPr="00485B6C">
        <w:rPr>
          <w:rFonts w:ascii="宋体" w:hAnsi="宋体" w:cs="Times New Roman"/>
        </w:rPr>
        <w:t>75.56%</w:t>
      </w:r>
      <w:r w:rsidRPr="00485B6C">
        <w:rPr>
          <w:rFonts w:ascii="宋体" w:hAnsi="宋体" w:cs="Times New Roman"/>
        </w:rPr>
        <w:t>具有博士学位，知识结构合理，</w:t>
      </w:r>
      <w:r w:rsidRPr="00485B6C">
        <w:rPr>
          <w:rFonts w:ascii="宋体" w:hAnsi="宋体" w:cs="Times New Roman"/>
          <w:color w:val="000000"/>
          <w:lang w:bidi="ar"/>
        </w:rPr>
        <w:t>基本形成了以中青年教师为主的师资队伍</w:t>
      </w:r>
      <w:r w:rsidRPr="00485B6C">
        <w:rPr>
          <w:rFonts w:ascii="宋体" w:hAnsi="宋体" w:cs="Times New Roman"/>
        </w:rPr>
        <w:lastRenderedPageBreak/>
        <w:t>（表</w:t>
      </w:r>
      <w:r w:rsidRPr="00485B6C">
        <w:rPr>
          <w:rFonts w:ascii="宋体" w:hAnsi="宋体" w:cs="Times New Roman"/>
        </w:rPr>
        <w:t>1</w:t>
      </w:r>
      <w:r w:rsidRPr="00485B6C">
        <w:rPr>
          <w:rFonts w:ascii="宋体" w:hAnsi="宋体" w:cs="Times New Roman"/>
        </w:rPr>
        <w:t>）。其中</w:t>
      </w:r>
      <w:r w:rsidRPr="00485B6C">
        <w:rPr>
          <w:rFonts w:ascii="宋体" w:hAnsi="宋体" w:cs="Times New Roman"/>
          <w:szCs w:val="21"/>
        </w:rPr>
        <w:t>天津市教</w:t>
      </w:r>
      <w:r w:rsidRPr="00485B6C">
        <w:rPr>
          <w:rFonts w:ascii="宋体" w:hAnsi="宋体" w:cs="Times New Roman"/>
          <w:szCs w:val="21"/>
        </w:rPr>
        <w:t>学名师</w:t>
      </w:r>
      <w:r w:rsidRPr="00485B6C">
        <w:rPr>
          <w:rFonts w:ascii="宋体" w:hAnsi="宋体" w:cs="Times New Roman"/>
          <w:szCs w:val="21"/>
        </w:rPr>
        <w:t>1</w:t>
      </w:r>
      <w:r w:rsidRPr="00485B6C">
        <w:rPr>
          <w:rFonts w:ascii="宋体" w:hAnsi="宋体" w:cs="Times New Roman"/>
          <w:szCs w:val="21"/>
        </w:rPr>
        <w:t>人，天津市特聘教授</w:t>
      </w:r>
      <w:r w:rsidRPr="00485B6C">
        <w:rPr>
          <w:rFonts w:ascii="宋体" w:hAnsi="宋体" w:cs="Times New Roman"/>
          <w:szCs w:val="21"/>
        </w:rPr>
        <w:t>1</w:t>
      </w:r>
      <w:r w:rsidRPr="00485B6C">
        <w:rPr>
          <w:rFonts w:ascii="宋体" w:hAnsi="宋体" w:cs="Times New Roman"/>
          <w:szCs w:val="21"/>
        </w:rPr>
        <w:t>人，入选天津市级人才培养计划</w:t>
      </w:r>
      <w:r w:rsidRPr="00485B6C">
        <w:rPr>
          <w:rFonts w:ascii="宋体" w:hAnsi="宋体" w:cs="Times New Roman"/>
          <w:szCs w:val="21"/>
        </w:rPr>
        <w:t>4</w:t>
      </w:r>
      <w:r w:rsidRPr="00485B6C">
        <w:rPr>
          <w:rFonts w:ascii="宋体" w:hAnsi="宋体" w:cs="Times New Roman"/>
          <w:szCs w:val="21"/>
        </w:rPr>
        <w:t>人次、天津市教委人才培养计划</w:t>
      </w:r>
      <w:r w:rsidRPr="00485B6C">
        <w:rPr>
          <w:rFonts w:ascii="宋体" w:hAnsi="宋体" w:cs="Times New Roman"/>
          <w:szCs w:val="21"/>
        </w:rPr>
        <w:t>12</w:t>
      </w:r>
      <w:r w:rsidRPr="00485B6C">
        <w:rPr>
          <w:rFonts w:ascii="宋体" w:hAnsi="宋体" w:cs="Times New Roman"/>
          <w:szCs w:val="21"/>
        </w:rPr>
        <w:t>人次。</w:t>
      </w:r>
    </w:p>
    <w:p w14:paraId="7C6F9840" w14:textId="77777777" w:rsidR="00CC059E" w:rsidRPr="00485B6C" w:rsidRDefault="005B731A">
      <w:pPr>
        <w:widowControl/>
        <w:spacing w:beforeLines="50" w:before="156"/>
        <w:ind w:firstLine="420"/>
        <w:jc w:val="center"/>
        <w:rPr>
          <w:rFonts w:ascii="宋体" w:hAnsi="宋体" w:cs="Times New Roman"/>
          <w:sz w:val="21"/>
          <w:szCs w:val="21"/>
        </w:rPr>
      </w:pPr>
      <w:r w:rsidRPr="00485B6C">
        <w:rPr>
          <w:rFonts w:ascii="宋体" w:hAnsi="宋体" w:cs="Times New Roman"/>
          <w:color w:val="000000"/>
          <w:sz w:val="21"/>
          <w:szCs w:val="21"/>
          <w:lang w:bidi="ar"/>
        </w:rPr>
        <w:t>表</w:t>
      </w:r>
      <w:r w:rsidRPr="00485B6C">
        <w:rPr>
          <w:rFonts w:ascii="宋体" w:hAnsi="宋体" w:cs="Times New Roman"/>
          <w:color w:val="000000"/>
          <w:sz w:val="21"/>
          <w:szCs w:val="21"/>
          <w:lang w:bidi="ar"/>
        </w:rPr>
        <w:t>1</w:t>
      </w:r>
      <w:r w:rsidRPr="00485B6C">
        <w:rPr>
          <w:rFonts w:ascii="宋体" w:hAnsi="宋体" w:cs="Times New Roman"/>
          <w:color w:val="000000"/>
          <w:sz w:val="21"/>
          <w:szCs w:val="21"/>
          <w:lang w:bidi="ar"/>
        </w:rPr>
        <w:t>本学位点专任教师年龄构成一览表</w:t>
      </w:r>
    </w:p>
    <w:tbl>
      <w:tblPr>
        <w:tblStyle w:val="a7"/>
        <w:tblW w:w="0" w:type="auto"/>
        <w:tblLook w:val="04A0" w:firstRow="1" w:lastRow="0" w:firstColumn="1" w:lastColumn="0" w:noHBand="0" w:noVBand="1"/>
      </w:tblPr>
      <w:tblGrid>
        <w:gridCol w:w="1373"/>
        <w:gridCol w:w="1384"/>
        <w:gridCol w:w="1384"/>
        <w:gridCol w:w="1384"/>
        <w:gridCol w:w="1462"/>
        <w:gridCol w:w="1309"/>
      </w:tblGrid>
      <w:tr w:rsidR="00CC059E" w:rsidRPr="00485B6C" w14:paraId="1A1DA23C" w14:textId="77777777">
        <w:tc>
          <w:tcPr>
            <w:tcW w:w="1418" w:type="dxa"/>
            <w:vAlign w:val="center"/>
          </w:tcPr>
          <w:p w14:paraId="6030BA79" w14:textId="77777777" w:rsidR="00CC059E" w:rsidRPr="00485B6C" w:rsidRDefault="005B731A">
            <w:pPr>
              <w:pStyle w:val="Default"/>
              <w:jc w:val="center"/>
              <w:rPr>
                <w:rFonts w:ascii="宋体" w:eastAsia="宋体" w:hAnsi="宋体" w:cs="Times New Roman"/>
                <w:b/>
                <w:bCs/>
                <w:color w:val="auto"/>
                <w:sz w:val="21"/>
                <w:szCs w:val="21"/>
              </w:rPr>
            </w:pPr>
            <w:r w:rsidRPr="00485B6C">
              <w:rPr>
                <w:rFonts w:ascii="宋体" w:eastAsia="宋体" w:hAnsi="宋体" w:cs="Times New Roman"/>
                <w:b/>
                <w:bCs/>
                <w:sz w:val="21"/>
                <w:szCs w:val="21"/>
                <w:lang w:bidi="ar"/>
              </w:rPr>
              <w:t>年龄段</w:t>
            </w:r>
          </w:p>
        </w:tc>
        <w:tc>
          <w:tcPr>
            <w:tcW w:w="1418" w:type="dxa"/>
            <w:vAlign w:val="center"/>
          </w:tcPr>
          <w:p w14:paraId="486E8B19" w14:textId="77777777" w:rsidR="00CC059E" w:rsidRPr="00485B6C" w:rsidRDefault="005B731A">
            <w:pPr>
              <w:pStyle w:val="Default"/>
              <w:jc w:val="center"/>
              <w:rPr>
                <w:rFonts w:ascii="宋体" w:eastAsia="宋体" w:hAnsi="宋体" w:cs="Times New Roman"/>
                <w:b/>
                <w:bCs/>
                <w:color w:val="auto"/>
                <w:sz w:val="21"/>
                <w:szCs w:val="21"/>
              </w:rPr>
            </w:pPr>
            <w:r w:rsidRPr="00485B6C">
              <w:rPr>
                <w:rFonts w:ascii="宋体" w:eastAsia="宋体" w:hAnsi="宋体" w:cs="Times New Roman"/>
                <w:b/>
                <w:bCs/>
                <w:sz w:val="21"/>
                <w:szCs w:val="21"/>
                <w:lang w:bidi="ar"/>
              </w:rPr>
              <w:t>人数（人）</w:t>
            </w:r>
          </w:p>
        </w:tc>
        <w:tc>
          <w:tcPr>
            <w:tcW w:w="1418" w:type="dxa"/>
            <w:vAlign w:val="center"/>
          </w:tcPr>
          <w:p w14:paraId="53DB2170" w14:textId="77777777" w:rsidR="00CC059E" w:rsidRPr="00485B6C" w:rsidRDefault="005B731A">
            <w:pPr>
              <w:pStyle w:val="Default"/>
              <w:jc w:val="center"/>
              <w:rPr>
                <w:rFonts w:ascii="宋体" w:eastAsia="宋体" w:hAnsi="宋体" w:cs="Times New Roman"/>
                <w:b/>
                <w:bCs/>
                <w:sz w:val="21"/>
                <w:szCs w:val="21"/>
                <w:lang w:bidi="ar"/>
              </w:rPr>
            </w:pPr>
            <w:r w:rsidRPr="00485B6C">
              <w:rPr>
                <w:rFonts w:ascii="宋体" w:eastAsia="宋体" w:hAnsi="宋体" w:cs="Times New Roman"/>
                <w:b/>
                <w:bCs/>
                <w:sz w:val="21"/>
                <w:szCs w:val="21"/>
                <w:lang w:bidi="ar"/>
              </w:rPr>
              <w:t>比例（</w:t>
            </w:r>
            <w:r w:rsidRPr="00485B6C">
              <w:rPr>
                <w:rFonts w:ascii="宋体" w:eastAsia="宋体" w:hAnsi="宋体" w:cs="Times New Roman"/>
                <w:b/>
                <w:bCs/>
                <w:sz w:val="21"/>
                <w:szCs w:val="21"/>
                <w:lang w:bidi="ar"/>
              </w:rPr>
              <w:t>%</w:t>
            </w:r>
            <w:r w:rsidRPr="00485B6C">
              <w:rPr>
                <w:rFonts w:ascii="宋体" w:eastAsia="宋体" w:hAnsi="宋体" w:cs="Times New Roman"/>
                <w:b/>
                <w:bCs/>
                <w:sz w:val="21"/>
                <w:szCs w:val="21"/>
                <w:lang w:bidi="ar"/>
              </w:rPr>
              <w:t>）</w:t>
            </w:r>
          </w:p>
        </w:tc>
        <w:tc>
          <w:tcPr>
            <w:tcW w:w="1418" w:type="dxa"/>
            <w:vAlign w:val="center"/>
          </w:tcPr>
          <w:p w14:paraId="189E99FC" w14:textId="77777777" w:rsidR="00CC059E" w:rsidRPr="00485B6C" w:rsidRDefault="005B731A">
            <w:pPr>
              <w:pStyle w:val="Default"/>
              <w:jc w:val="center"/>
              <w:rPr>
                <w:rFonts w:ascii="宋体" w:eastAsia="宋体" w:hAnsi="宋体" w:cs="Times New Roman"/>
                <w:b/>
                <w:bCs/>
                <w:sz w:val="21"/>
                <w:szCs w:val="21"/>
                <w:lang w:bidi="ar"/>
              </w:rPr>
            </w:pPr>
            <w:r w:rsidRPr="00485B6C">
              <w:rPr>
                <w:rFonts w:ascii="宋体" w:eastAsia="宋体" w:hAnsi="宋体" w:cs="Times New Roman"/>
                <w:b/>
                <w:bCs/>
                <w:sz w:val="21"/>
                <w:szCs w:val="21"/>
                <w:lang w:bidi="ar"/>
              </w:rPr>
              <w:t>高级（人）</w:t>
            </w:r>
          </w:p>
        </w:tc>
        <w:tc>
          <w:tcPr>
            <w:tcW w:w="1501" w:type="dxa"/>
            <w:vAlign w:val="center"/>
          </w:tcPr>
          <w:p w14:paraId="1786194A" w14:textId="77777777" w:rsidR="00CC059E" w:rsidRPr="00485B6C" w:rsidRDefault="005B731A">
            <w:pPr>
              <w:pStyle w:val="Default"/>
              <w:jc w:val="center"/>
              <w:rPr>
                <w:rFonts w:ascii="宋体" w:eastAsia="宋体" w:hAnsi="宋体" w:cs="Times New Roman"/>
                <w:b/>
                <w:bCs/>
                <w:sz w:val="21"/>
                <w:szCs w:val="21"/>
                <w:lang w:bidi="ar"/>
              </w:rPr>
            </w:pPr>
            <w:r w:rsidRPr="00485B6C">
              <w:rPr>
                <w:rFonts w:ascii="宋体" w:eastAsia="宋体" w:hAnsi="宋体" w:cs="Times New Roman"/>
                <w:b/>
                <w:bCs/>
                <w:sz w:val="21"/>
                <w:szCs w:val="21"/>
                <w:lang w:bidi="ar"/>
              </w:rPr>
              <w:t>副高级（人）</w:t>
            </w:r>
          </w:p>
        </w:tc>
        <w:tc>
          <w:tcPr>
            <w:tcW w:w="1338" w:type="dxa"/>
            <w:vAlign w:val="center"/>
          </w:tcPr>
          <w:p w14:paraId="0E84DCF7" w14:textId="77777777" w:rsidR="00CC059E" w:rsidRPr="00485B6C" w:rsidRDefault="005B731A">
            <w:pPr>
              <w:pStyle w:val="Default"/>
              <w:jc w:val="center"/>
              <w:rPr>
                <w:rFonts w:ascii="宋体" w:eastAsia="宋体" w:hAnsi="宋体" w:cs="Times New Roman"/>
                <w:b/>
                <w:bCs/>
                <w:sz w:val="21"/>
                <w:szCs w:val="21"/>
                <w:lang w:bidi="ar"/>
              </w:rPr>
            </w:pPr>
            <w:r w:rsidRPr="00485B6C">
              <w:rPr>
                <w:rFonts w:ascii="宋体" w:eastAsia="宋体" w:hAnsi="宋体" w:cs="Times New Roman"/>
                <w:b/>
                <w:bCs/>
                <w:sz w:val="21"/>
                <w:szCs w:val="21"/>
                <w:lang w:bidi="ar"/>
              </w:rPr>
              <w:t>中级（人）</w:t>
            </w:r>
          </w:p>
        </w:tc>
      </w:tr>
      <w:tr w:rsidR="00CC059E" w:rsidRPr="00485B6C" w14:paraId="6EBC8AF2" w14:textId="77777777">
        <w:tc>
          <w:tcPr>
            <w:tcW w:w="1418" w:type="dxa"/>
          </w:tcPr>
          <w:p w14:paraId="7DE59B9B"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≤35</w:t>
            </w:r>
          </w:p>
        </w:tc>
        <w:tc>
          <w:tcPr>
            <w:tcW w:w="1418" w:type="dxa"/>
          </w:tcPr>
          <w:p w14:paraId="6C8F71E8"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5</w:t>
            </w:r>
          </w:p>
        </w:tc>
        <w:tc>
          <w:tcPr>
            <w:tcW w:w="1418" w:type="dxa"/>
          </w:tcPr>
          <w:p w14:paraId="5611C100"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11.11</w:t>
            </w:r>
          </w:p>
        </w:tc>
        <w:tc>
          <w:tcPr>
            <w:tcW w:w="1418" w:type="dxa"/>
          </w:tcPr>
          <w:p w14:paraId="0225F040"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0</w:t>
            </w:r>
          </w:p>
        </w:tc>
        <w:tc>
          <w:tcPr>
            <w:tcW w:w="1501" w:type="dxa"/>
          </w:tcPr>
          <w:p w14:paraId="047E7329"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0</w:t>
            </w:r>
          </w:p>
        </w:tc>
        <w:tc>
          <w:tcPr>
            <w:tcW w:w="1338" w:type="dxa"/>
          </w:tcPr>
          <w:p w14:paraId="0214B04F"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5</w:t>
            </w:r>
          </w:p>
        </w:tc>
      </w:tr>
      <w:tr w:rsidR="00CC059E" w:rsidRPr="00485B6C" w14:paraId="149E73E7" w14:textId="77777777">
        <w:tc>
          <w:tcPr>
            <w:tcW w:w="1418" w:type="dxa"/>
          </w:tcPr>
          <w:p w14:paraId="522B6911"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36-45</w:t>
            </w:r>
          </w:p>
        </w:tc>
        <w:tc>
          <w:tcPr>
            <w:tcW w:w="1418" w:type="dxa"/>
          </w:tcPr>
          <w:p w14:paraId="666AA47D"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18</w:t>
            </w:r>
          </w:p>
        </w:tc>
        <w:tc>
          <w:tcPr>
            <w:tcW w:w="1418" w:type="dxa"/>
          </w:tcPr>
          <w:p w14:paraId="24353E28"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40.00</w:t>
            </w:r>
          </w:p>
        </w:tc>
        <w:tc>
          <w:tcPr>
            <w:tcW w:w="1418" w:type="dxa"/>
          </w:tcPr>
          <w:p w14:paraId="299E49D7"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1</w:t>
            </w:r>
          </w:p>
        </w:tc>
        <w:tc>
          <w:tcPr>
            <w:tcW w:w="1501" w:type="dxa"/>
          </w:tcPr>
          <w:p w14:paraId="3883979F"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6</w:t>
            </w:r>
          </w:p>
        </w:tc>
        <w:tc>
          <w:tcPr>
            <w:tcW w:w="1338" w:type="dxa"/>
          </w:tcPr>
          <w:p w14:paraId="2B5C726C"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11</w:t>
            </w:r>
          </w:p>
        </w:tc>
      </w:tr>
      <w:tr w:rsidR="00CC059E" w:rsidRPr="00485B6C" w14:paraId="41EB3965" w14:textId="77777777">
        <w:tc>
          <w:tcPr>
            <w:tcW w:w="1418" w:type="dxa"/>
          </w:tcPr>
          <w:p w14:paraId="1DD11027"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46-59</w:t>
            </w:r>
          </w:p>
        </w:tc>
        <w:tc>
          <w:tcPr>
            <w:tcW w:w="1418" w:type="dxa"/>
          </w:tcPr>
          <w:p w14:paraId="78657A96"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22</w:t>
            </w:r>
          </w:p>
        </w:tc>
        <w:tc>
          <w:tcPr>
            <w:tcW w:w="1418" w:type="dxa"/>
          </w:tcPr>
          <w:p w14:paraId="681CC533"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48.89</w:t>
            </w:r>
          </w:p>
        </w:tc>
        <w:tc>
          <w:tcPr>
            <w:tcW w:w="1418" w:type="dxa"/>
          </w:tcPr>
          <w:p w14:paraId="32C62758"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7</w:t>
            </w:r>
          </w:p>
        </w:tc>
        <w:tc>
          <w:tcPr>
            <w:tcW w:w="1501" w:type="dxa"/>
          </w:tcPr>
          <w:p w14:paraId="76E0316F"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10</w:t>
            </w:r>
          </w:p>
        </w:tc>
        <w:tc>
          <w:tcPr>
            <w:tcW w:w="1338" w:type="dxa"/>
          </w:tcPr>
          <w:p w14:paraId="11D560B2"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5</w:t>
            </w:r>
          </w:p>
        </w:tc>
      </w:tr>
      <w:tr w:rsidR="00CC059E" w:rsidRPr="00485B6C" w14:paraId="542598A6" w14:textId="77777777">
        <w:tc>
          <w:tcPr>
            <w:tcW w:w="1418" w:type="dxa"/>
          </w:tcPr>
          <w:p w14:paraId="7805C263"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合计</w:t>
            </w:r>
          </w:p>
        </w:tc>
        <w:tc>
          <w:tcPr>
            <w:tcW w:w="1418" w:type="dxa"/>
          </w:tcPr>
          <w:p w14:paraId="0FFF42FC"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45</w:t>
            </w:r>
          </w:p>
        </w:tc>
        <w:tc>
          <w:tcPr>
            <w:tcW w:w="1418" w:type="dxa"/>
          </w:tcPr>
          <w:p w14:paraId="4EB96A21"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100</w:t>
            </w:r>
            <w:r w:rsidRPr="00485B6C">
              <w:rPr>
                <w:rFonts w:ascii="宋体" w:eastAsia="宋体" w:hAnsi="宋体" w:cs="Times New Roman" w:hint="eastAsia"/>
                <w:sz w:val="21"/>
                <w:szCs w:val="21"/>
                <w:lang w:bidi="ar"/>
              </w:rPr>
              <w:t>.00</w:t>
            </w:r>
          </w:p>
        </w:tc>
        <w:tc>
          <w:tcPr>
            <w:tcW w:w="1418" w:type="dxa"/>
          </w:tcPr>
          <w:p w14:paraId="3A2950C0"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8</w:t>
            </w:r>
          </w:p>
        </w:tc>
        <w:tc>
          <w:tcPr>
            <w:tcW w:w="1501" w:type="dxa"/>
          </w:tcPr>
          <w:p w14:paraId="5E0BAAA4"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16</w:t>
            </w:r>
          </w:p>
        </w:tc>
        <w:tc>
          <w:tcPr>
            <w:tcW w:w="1338" w:type="dxa"/>
          </w:tcPr>
          <w:p w14:paraId="009E4E11" w14:textId="77777777" w:rsidR="00CC059E" w:rsidRPr="00485B6C" w:rsidRDefault="005B731A">
            <w:pPr>
              <w:pStyle w:val="Default"/>
              <w:jc w:val="center"/>
              <w:rPr>
                <w:rFonts w:ascii="宋体" w:eastAsia="宋体" w:hAnsi="宋体" w:cs="Times New Roman"/>
                <w:sz w:val="21"/>
                <w:szCs w:val="21"/>
                <w:lang w:bidi="ar"/>
              </w:rPr>
            </w:pPr>
            <w:r w:rsidRPr="00485B6C">
              <w:rPr>
                <w:rFonts w:ascii="宋体" w:eastAsia="宋体" w:hAnsi="宋体" w:cs="Times New Roman"/>
                <w:sz w:val="21"/>
                <w:szCs w:val="21"/>
                <w:lang w:bidi="ar"/>
              </w:rPr>
              <w:t>21</w:t>
            </w:r>
          </w:p>
        </w:tc>
      </w:tr>
    </w:tbl>
    <w:p w14:paraId="415DF42B" w14:textId="77777777" w:rsidR="00CC059E" w:rsidRPr="00485B6C" w:rsidRDefault="005B731A">
      <w:pPr>
        <w:autoSpaceDE w:val="0"/>
        <w:autoSpaceDN w:val="0"/>
        <w:spacing w:line="360" w:lineRule="auto"/>
        <w:ind w:firstLineChars="200" w:firstLine="560"/>
        <w:rPr>
          <w:rFonts w:ascii="宋体" w:hAnsi="宋体" w:cs="黑体"/>
          <w:szCs w:val="28"/>
        </w:rPr>
      </w:pPr>
      <w:r w:rsidRPr="00485B6C">
        <w:rPr>
          <w:rFonts w:ascii="宋体" w:hAnsi="宋体" w:cs="黑体" w:hint="eastAsia"/>
          <w:szCs w:val="28"/>
        </w:rPr>
        <w:t>本学位点硕士研究生导师共计</w:t>
      </w:r>
      <w:r w:rsidRPr="00485B6C">
        <w:rPr>
          <w:rFonts w:ascii="宋体" w:hAnsi="宋体" w:cs="黑体" w:hint="eastAsia"/>
          <w:szCs w:val="28"/>
        </w:rPr>
        <w:t>53</w:t>
      </w:r>
      <w:r w:rsidRPr="00485B6C">
        <w:rPr>
          <w:rFonts w:ascii="宋体" w:hAnsi="宋体" w:cs="黑体" w:hint="eastAsia"/>
          <w:szCs w:val="28"/>
        </w:rPr>
        <w:t>人。其中校内导师</w:t>
      </w:r>
      <w:r w:rsidRPr="00485B6C">
        <w:rPr>
          <w:rFonts w:ascii="宋体" w:hAnsi="宋体" w:cs="黑体" w:hint="eastAsia"/>
          <w:szCs w:val="28"/>
        </w:rPr>
        <w:t>29</w:t>
      </w:r>
      <w:r w:rsidRPr="00485B6C">
        <w:rPr>
          <w:rFonts w:ascii="宋体" w:hAnsi="宋体" w:cs="黑体" w:hint="eastAsia"/>
          <w:szCs w:val="28"/>
        </w:rPr>
        <w:t>人，导师学历结构合理，其中博士学历占</w:t>
      </w:r>
      <w:r w:rsidRPr="00485B6C">
        <w:rPr>
          <w:rFonts w:ascii="宋体" w:hAnsi="宋体" w:cs="黑体" w:hint="eastAsia"/>
          <w:szCs w:val="28"/>
        </w:rPr>
        <w:t>81.5%</w:t>
      </w:r>
      <w:r w:rsidRPr="00485B6C">
        <w:rPr>
          <w:rFonts w:ascii="宋体" w:hAnsi="宋体" w:cs="黑体" w:hint="eastAsia"/>
          <w:szCs w:val="28"/>
        </w:rPr>
        <w:t>。校内导师队伍具有良好的学缘结构，毕业于天津大学、华中科技大学、大连理工大学、日本北九州市立大学等国内外著名高校。校内导师年龄结构及职称分布分别如图</w:t>
      </w:r>
      <w:r w:rsidRPr="00485B6C">
        <w:rPr>
          <w:rFonts w:ascii="宋体" w:hAnsi="宋体" w:cs="黑体" w:hint="eastAsia"/>
          <w:szCs w:val="28"/>
        </w:rPr>
        <w:t>1</w:t>
      </w:r>
      <w:r w:rsidRPr="00485B6C">
        <w:rPr>
          <w:rFonts w:ascii="宋体" w:hAnsi="宋体" w:cs="黑体" w:hint="eastAsia"/>
          <w:szCs w:val="28"/>
        </w:rPr>
        <w:t>、图</w:t>
      </w:r>
      <w:r w:rsidRPr="00485B6C">
        <w:rPr>
          <w:rFonts w:ascii="宋体" w:hAnsi="宋体" w:cs="黑体" w:hint="eastAsia"/>
          <w:szCs w:val="28"/>
        </w:rPr>
        <w:t>2</w:t>
      </w:r>
      <w:r w:rsidRPr="00485B6C">
        <w:rPr>
          <w:rFonts w:ascii="宋体" w:hAnsi="宋体" w:cs="黑体" w:hint="eastAsia"/>
          <w:szCs w:val="28"/>
        </w:rPr>
        <w:t>所示。</w:t>
      </w:r>
    </w:p>
    <w:p w14:paraId="4C6CEF16" w14:textId="77777777" w:rsidR="00CC059E" w:rsidRDefault="005B731A">
      <w:pPr>
        <w:spacing w:beforeLines="50" w:before="156"/>
        <w:jc w:val="center"/>
        <w:rPr>
          <w:rFonts w:ascii="Times New Roman" w:hAnsi="Times New Roman" w:cs="Times New Roman"/>
        </w:rPr>
      </w:pPr>
      <w:r>
        <w:rPr>
          <w:rFonts w:ascii="Times New Roman" w:hAnsi="Times New Roman" w:cs="Times New Roman" w:hint="eastAsia"/>
          <w:noProof/>
        </w:rPr>
        <w:drawing>
          <wp:inline distT="0" distB="0" distL="114300" distR="114300" wp14:anchorId="08B33C4C" wp14:editId="5F1CF66A">
            <wp:extent cx="2519680" cy="1708785"/>
            <wp:effectExtent l="0" t="0" r="7620" b="571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imes New Roman" w:hAnsi="Times New Roman" w:cs="Times New Roman" w:hint="eastAsia"/>
          <w:noProof/>
        </w:rPr>
        <w:drawing>
          <wp:inline distT="0" distB="0" distL="114300" distR="114300" wp14:anchorId="7526334C" wp14:editId="558ACEF0">
            <wp:extent cx="2017395" cy="1761490"/>
            <wp:effectExtent l="0" t="0" r="1905" b="3810"/>
            <wp:docPr id="5931598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1CF430" w14:textId="77777777" w:rsidR="00CC059E" w:rsidRPr="00EE1251" w:rsidRDefault="005B731A">
      <w:pPr>
        <w:pStyle w:val="Default"/>
        <w:ind w:firstLineChars="200" w:firstLine="420"/>
        <w:jc w:val="center"/>
        <w:rPr>
          <w:rFonts w:ascii="宋体" w:eastAsia="宋体" w:hAnsi="宋体" w:cs="宋体"/>
          <w:sz w:val="21"/>
          <w:szCs w:val="21"/>
          <w:lang w:bidi="ar"/>
        </w:rPr>
      </w:pPr>
      <w:r w:rsidRPr="00EE1251">
        <w:rPr>
          <w:rFonts w:ascii="Times New Roman" w:eastAsia="宋体" w:hAnsi="Times New Roman" w:cs="Times New Roman"/>
          <w:sz w:val="21"/>
          <w:szCs w:val="21"/>
          <w:lang w:bidi="ar"/>
        </w:rPr>
        <w:t>图</w:t>
      </w:r>
      <w:r w:rsidRPr="00EE1251">
        <w:rPr>
          <w:rFonts w:ascii="Times New Roman" w:eastAsia="宋体" w:hAnsi="Times New Roman" w:cs="Times New Roman"/>
          <w:sz w:val="21"/>
          <w:szCs w:val="21"/>
          <w:lang w:bidi="ar"/>
        </w:rPr>
        <w:t xml:space="preserve">1 </w:t>
      </w:r>
      <w:r w:rsidRPr="00EE1251">
        <w:rPr>
          <w:rFonts w:ascii="Times New Roman" w:eastAsia="宋体" w:hAnsi="Times New Roman" w:cs="Times New Roman"/>
          <w:sz w:val="21"/>
          <w:szCs w:val="21"/>
          <w:lang w:bidi="ar"/>
        </w:rPr>
        <w:t>校内导师年龄结构</w:t>
      </w:r>
      <w:r w:rsidRPr="00EE1251">
        <w:rPr>
          <w:rFonts w:ascii="Times New Roman" w:eastAsia="宋体" w:hAnsi="Times New Roman" w:cs="Times New Roman"/>
          <w:sz w:val="21"/>
          <w:szCs w:val="21"/>
          <w:lang w:bidi="ar"/>
        </w:rPr>
        <w:t xml:space="preserve">           </w:t>
      </w:r>
      <w:r w:rsidRPr="00EE1251">
        <w:rPr>
          <w:rFonts w:ascii="Times New Roman" w:eastAsia="宋体" w:hAnsi="Times New Roman" w:cs="Times New Roman"/>
          <w:sz w:val="21"/>
          <w:szCs w:val="21"/>
          <w:lang w:bidi="ar"/>
        </w:rPr>
        <w:t>图</w:t>
      </w:r>
      <w:r w:rsidRPr="00EE1251">
        <w:rPr>
          <w:rFonts w:ascii="Times New Roman" w:eastAsia="宋体" w:hAnsi="Times New Roman" w:cs="Times New Roman"/>
          <w:sz w:val="21"/>
          <w:szCs w:val="21"/>
          <w:lang w:bidi="ar"/>
        </w:rPr>
        <w:t xml:space="preserve">2 </w:t>
      </w:r>
      <w:r w:rsidRPr="00EE1251">
        <w:rPr>
          <w:rFonts w:ascii="Times New Roman" w:eastAsia="宋体" w:hAnsi="Times New Roman" w:cs="Times New Roman"/>
          <w:sz w:val="21"/>
          <w:szCs w:val="21"/>
          <w:lang w:bidi="ar"/>
        </w:rPr>
        <w:t>校内导师职称结构</w:t>
      </w:r>
    </w:p>
    <w:p w14:paraId="13D09D12" w14:textId="77777777" w:rsidR="00CC059E" w:rsidRDefault="00CC059E">
      <w:pPr>
        <w:pStyle w:val="Default"/>
        <w:ind w:firstLineChars="200" w:firstLine="442"/>
        <w:jc w:val="center"/>
        <w:rPr>
          <w:rFonts w:ascii="宋体" w:eastAsia="宋体" w:hAnsi="宋体" w:cs="宋体"/>
          <w:b/>
          <w:bCs/>
          <w:sz w:val="22"/>
          <w:szCs w:val="22"/>
          <w:lang w:bidi="ar"/>
        </w:rPr>
      </w:pPr>
    </w:p>
    <w:p w14:paraId="452687E4" w14:textId="05D0B861" w:rsidR="00CC059E" w:rsidRPr="00485B6C" w:rsidRDefault="005B731A">
      <w:pPr>
        <w:autoSpaceDE w:val="0"/>
        <w:autoSpaceDN w:val="0"/>
        <w:spacing w:line="360" w:lineRule="auto"/>
        <w:ind w:firstLineChars="200" w:firstLine="560"/>
        <w:rPr>
          <w:rFonts w:ascii="宋体" w:hAnsi="宋体"/>
        </w:rPr>
      </w:pPr>
      <w:r w:rsidRPr="00485B6C">
        <w:rPr>
          <w:rFonts w:ascii="宋体" w:hAnsi="宋体" w:cs="黑体" w:hint="eastAsia"/>
          <w:szCs w:val="28"/>
        </w:rPr>
        <w:t>本学位点另有外聘导师</w:t>
      </w:r>
      <w:r w:rsidRPr="00485B6C">
        <w:rPr>
          <w:rFonts w:ascii="宋体" w:hAnsi="宋体" w:cs="黑体" w:hint="eastAsia"/>
          <w:szCs w:val="28"/>
        </w:rPr>
        <w:t>24</w:t>
      </w:r>
      <w:r w:rsidRPr="00485B6C">
        <w:rPr>
          <w:rFonts w:ascii="宋体" w:hAnsi="宋体" w:cs="黑体" w:hint="eastAsia"/>
          <w:szCs w:val="28"/>
        </w:rPr>
        <w:t>人，其中包括外籍导师</w:t>
      </w:r>
      <w:r w:rsidRPr="00485B6C">
        <w:rPr>
          <w:rFonts w:ascii="宋体" w:hAnsi="宋体" w:cs="黑体" w:hint="eastAsia"/>
          <w:szCs w:val="28"/>
        </w:rPr>
        <w:t>6</w:t>
      </w:r>
      <w:r w:rsidRPr="00485B6C">
        <w:rPr>
          <w:rFonts w:ascii="宋体" w:hAnsi="宋体" w:cs="黑体" w:hint="eastAsia"/>
          <w:szCs w:val="28"/>
        </w:rPr>
        <w:t>人，专业背景均为建筑学及其相关专业。外籍导师均就职于波兰克拉科夫工业大学，学校具备建筑与城市规划等学科博士学位授予权，建筑与城市规划专业在波兰排名第</w:t>
      </w:r>
      <w:r w:rsidRPr="00485B6C">
        <w:rPr>
          <w:rFonts w:ascii="宋体" w:hAnsi="宋体" w:cs="黑体" w:hint="eastAsia"/>
          <w:szCs w:val="28"/>
        </w:rPr>
        <w:t>2</w:t>
      </w:r>
      <w:r w:rsidRPr="00485B6C">
        <w:rPr>
          <w:rFonts w:ascii="宋体" w:hAnsi="宋体" w:cs="黑体" w:hint="eastAsia"/>
          <w:szCs w:val="28"/>
        </w:rPr>
        <w:t>位，并获欧盟委员会和英国皇家建筑师协会（</w:t>
      </w:r>
      <w:r w:rsidRPr="00485B6C">
        <w:rPr>
          <w:rFonts w:ascii="宋体" w:hAnsi="宋体" w:cs="黑体" w:hint="eastAsia"/>
          <w:szCs w:val="28"/>
        </w:rPr>
        <w:t>RIBA</w:t>
      </w:r>
      <w:r w:rsidRPr="00485B6C">
        <w:rPr>
          <w:rFonts w:ascii="宋体" w:hAnsi="宋体" w:cs="黑体" w:hint="eastAsia"/>
          <w:szCs w:val="28"/>
        </w:rPr>
        <w:t>）认证。除外籍导师外，其余外聘导师多就职于甲级设计单位，包括大</w:t>
      </w:r>
      <w:r w:rsidRPr="00485B6C">
        <w:rPr>
          <w:rFonts w:ascii="宋体" w:hAnsi="宋体" w:cs="黑体" w:hint="eastAsia"/>
          <w:szCs w:val="28"/>
        </w:rPr>
        <w:lastRenderedPageBreak/>
        <w:t>型国有设计企业首席建筑师、院长、著名民营设计公司总建筑师等，大多为正高级职称，</w:t>
      </w:r>
      <w:r w:rsidR="00590E3A" w:rsidRPr="00485B6C">
        <w:rPr>
          <w:rFonts w:ascii="宋体" w:hAnsi="宋体" w:cs="黑体" w:hint="eastAsia"/>
          <w:szCs w:val="28"/>
        </w:rPr>
        <w:t>一级注册</w:t>
      </w:r>
      <w:r w:rsidRPr="00485B6C">
        <w:rPr>
          <w:rFonts w:ascii="宋体" w:hAnsi="宋体" w:cs="黑体" w:hint="eastAsia"/>
          <w:szCs w:val="28"/>
        </w:rPr>
        <w:t>建筑师，主持设计的建筑项目多次获得国家或天津市优秀设计奖。</w:t>
      </w:r>
    </w:p>
    <w:p w14:paraId="72381330" w14:textId="77777777" w:rsidR="00CC059E" w:rsidRDefault="005B731A">
      <w:pPr>
        <w:pStyle w:val="3"/>
        <w:ind w:firstLine="643"/>
      </w:pPr>
      <w:r>
        <w:rPr>
          <w:rFonts w:hint="eastAsia"/>
        </w:rPr>
        <w:t>2</w:t>
      </w:r>
      <w:r>
        <w:t>.3</w:t>
      </w:r>
      <w:r>
        <w:t>科学研究</w:t>
      </w:r>
    </w:p>
    <w:p w14:paraId="6C44FEB6" w14:textId="77777777" w:rsidR="00CC059E" w:rsidRDefault="005B731A">
      <w:pPr>
        <w:pStyle w:val="Default"/>
        <w:ind w:firstLine="560"/>
        <w:rPr>
          <w:rFonts w:ascii="等线" w:eastAsia="宋体" w:hAnsi="等线"/>
          <w:color w:val="auto"/>
          <w:kern w:val="2"/>
          <w:sz w:val="28"/>
          <w:szCs w:val="28"/>
        </w:rPr>
      </w:pPr>
      <w:r>
        <w:rPr>
          <w:rFonts w:ascii="等线" w:eastAsia="宋体" w:hAnsi="等线" w:hint="eastAsia"/>
          <w:color w:val="auto"/>
          <w:kern w:val="2"/>
          <w:sz w:val="28"/>
          <w:szCs w:val="28"/>
        </w:rPr>
        <w:t>目前拥有</w:t>
      </w:r>
      <w:r>
        <w:rPr>
          <w:rFonts w:asciiTheme="minorHAnsi" w:eastAsia="宋体" w:hAnsiTheme="minorHAnsi" w:cstheme="minorBidi" w:hint="eastAsia"/>
          <w:color w:val="auto"/>
          <w:kern w:val="2"/>
          <w:sz w:val="28"/>
          <w:szCs w:val="28"/>
        </w:rPr>
        <w:t>“天津市新型工业化装配式建筑技术创新中心”、</w:t>
      </w:r>
      <w:r>
        <w:rPr>
          <w:rFonts w:ascii="等线" w:eastAsia="宋体" w:hAnsi="等线" w:hint="eastAsia"/>
          <w:color w:val="auto"/>
          <w:kern w:val="2"/>
          <w:sz w:val="28"/>
          <w:szCs w:val="28"/>
        </w:rPr>
        <w:t>“天津市绿色住区建设技术工程中心”、“天津绿色建筑协同创新中心”、“天津市绿色建筑产业技术创新战略联盟”、</w:t>
      </w:r>
      <w:r>
        <w:rPr>
          <w:rFonts w:ascii="等线" w:eastAsia="宋体" w:hAnsi="等线" w:hint="eastAsia"/>
          <w:color w:val="auto"/>
          <w:kern w:val="2"/>
          <w:sz w:val="28"/>
          <w:szCs w:val="28"/>
        </w:rPr>
        <w:t xml:space="preserve"> </w:t>
      </w:r>
      <w:r>
        <w:rPr>
          <w:rFonts w:ascii="等线" w:eastAsia="宋体" w:hAnsi="等线" w:hint="eastAsia"/>
          <w:color w:val="auto"/>
          <w:kern w:val="2"/>
          <w:sz w:val="28"/>
          <w:szCs w:val="28"/>
        </w:rPr>
        <w:t>“天津城建大学建筑减碳科普基地”、“天津城镇化与新农村建设研究中心”</w:t>
      </w:r>
      <w:r>
        <w:rPr>
          <w:rFonts w:ascii="等线" w:eastAsia="宋体" w:hAnsi="等线" w:hint="eastAsia"/>
          <w:color w:val="auto"/>
          <w:kern w:val="2"/>
          <w:sz w:val="28"/>
          <w:szCs w:val="28"/>
        </w:rPr>
        <w:t xml:space="preserve"> 6</w:t>
      </w:r>
      <w:r>
        <w:rPr>
          <w:rFonts w:ascii="等线" w:eastAsia="宋体" w:hAnsi="等线" w:hint="eastAsia"/>
          <w:color w:val="auto"/>
          <w:kern w:val="2"/>
          <w:sz w:val="28"/>
          <w:szCs w:val="28"/>
        </w:rPr>
        <w:t>个省部级科研科普平台，为学生培养提供了充分的课程教学、论文选题和实践资源，提高了研究生的实践能力和创新能力。</w:t>
      </w:r>
    </w:p>
    <w:p w14:paraId="2DEC8A13" w14:textId="77777777" w:rsidR="00CC059E" w:rsidRDefault="005B731A">
      <w:pPr>
        <w:pStyle w:val="Default"/>
        <w:ind w:firstLineChars="200" w:firstLine="560"/>
        <w:rPr>
          <w:rStyle w:val="a8"/>
          <w:rFonts w:ascii="等线" w:eastAsia="宋体" w:hAnsi="等线"/>
          <w:color w:val="auto"/>
          <w:kern w:val="2"/>
        </w:rPr>
      </w:pPr>
      <w:r>
        <w:rPr>
          <w:rFonts w:ascii="宋体" w:eastAsia="宋体" w:hAnsi="宋体" w:cs="宋体" w:hint="eastAsia"/>
          <w:color w:val="auto"/>
          <w:sz w:val="28"/>
          <w:szCs w:val="28"/>
        </w:rPr>
        <w:t>2023</w:t>
      </w:r>
      <w:r>
        <w:rPr>
          <w:rFonts w:ascii="宋体" w:eastAsia="宋体" w:hAnsi="宋体" w:cs="宋体" w:hint="eastAsia"/>
          <w:color w:val="auto"/>
          <w:sz w:val="28"/>
          <w:szCs w:val="28"/>
        </w:rPr>
        <w:t>年教师在“新型建筑工业化与装配式”、“建筑遗产保护与利用”、“绿色低碳建筑与评价”、“城市更新与乡村振兴”四个学科方向上发表各类期刊会议论文共计近</w:t>
      </w:r>
      <w:r>
        <w:rPr>
          <w:rFonts w:ascii="宋体" w:eastAsia="宋体" w:hAnsi="宋体" w:cs="宋体" w:hint="eastAsia"/>
          <w:color w:val="auto"/>
          <w:sz w:val="28"/>
          <w:szCs w:val="28"/>
        </w:rPr>
        <w:t>19</w:t>
      </w:r>
      <w:r>
        <w:rPr>
          <w:rFonts w:ascii="宋体" w:eastAsia="宋体" w:hAnsi="宋体" w:cs="宋体" w:hint="eastAsia"/>
          <w:color w:val="auto"/>
          <w:sz w:val="28"/>
          <w:szCs w:val="28"/>
        </w:rPr>
        <w:t>篇；获批各类纵向及横</w:t>
      </w:r>
      <w:r>
        <w:rPr>
          <w:rFonts w:ascii="宋体" w:eastAsia="宋体" w:hAnsi="宋体" w:cs="宋体" w:hint="eastAsia"/>
          <w:color w:val="auto"/>
          <w:sz w:val="28"/>
          <w:szCs w:val="28"/>
        </w:rPr>
        <w:t>向科研项目</w:t>
      </w:r>
      <w:r>
        <w:rPr>
          <w:rFonts w:ascii="宋体" w:eastAsia="宋体" w:hAnsi="宋体" w:cs="宋体" w:hint="eastAsia"/>
          <w:color w:val="auto"/>
          <w:sz w:val="28"/>
          <w:szCs w:val="28"/>
        </w:rPr>
        <w:t>32</w:t>
      </w:r>
      <w:r>
        <w:rPr>
          <w:rFonts w:ascii="宋体" w:eastAsia="宋体" w:hAnsi="宋体" w:cs="宋体" w:hint="eastAsia"/>
          <w:color w:val="auto"/>
          <w:sz w:val="28"/>
          <w:szCs w:val="28"/>
        </w:rPr>
        <w:t>项。</w:t>
      </w:r>
    </w:p>
    <w:p w14:paraId="6679BB6A" w14:textId="77777777" w:rsidR="00CC059E" w:rsidRDefault="005B731A">
      <w:pPr>
        <w:pStyle w:val="3"/>
        <w:ind w:firstLine="643"/>
        <w:rPr>
          <w:rFonts w:ascii="宋体" w:eastAsia="宋体" w:hAnsi="宋体"/>
          <w:b w:val="0"/>
          <w:szCs w:val="22"/>
        </w:rPr>
      </w:pPr>
      <w:r>
        <w:rPr>
          <w:rFonts w:hint="eastAsia"/>
        </w:rPr>
        <w:t>2</w:t>
      </w:r>
      <w:r>
        <w:t>.4</w:t>
      </w:r>
      <w:r>
        <w:t>教学科研支撑</w:t>
      </w:r>
    </w:p>
    <w:p w14:paraId="6717BA68" w14:textId="5617226E" w:rsidR="00CC059E" w:rsidRDefault="005B731A">
      <w:pPr>
        <w:pStyle w:val="Default"/>
        <w:ind w:firstLineChars="250" w:firstLine="700"/>
        <w:rPr>
          <w:rFonts w:ascii="宋体" w:eastAsia="宋体" w:hAnsi="宋体" w:cs="宋体"/>
          <w:color w:val="auto"/>
          <w:sz w:val="28"/>
          <w:szCs w:val="28"/>
        </w:rPr>
      </w:pPr>
      <w:r>
        <w:rPr>
          <w:rFonts w:ascii="宋体" w:eastAsia="宋体" w:hAnsi="宋体" w:cs="宋体" w:hint="eastAsia"/>
          <w:color w:val="auto"/>
          <w:sz w:val="28"/>
          <w:szCs w:val="28"/>
        </w:rPr>
        <w:t>以天津城市建设中历史建筑保护与更新的实际问题为突破口，依托“历史街区保护与绿色更新关键技术”省部级创新团队，结合本专业在历史建筑营造、价值评价、更新与后评估方面的特色，积极为天津的历史建筑保护与更新工作</w:t>
      </w:r>
      <w:r w:rsidR="00590E3A">
        <w:rPr>
          <w:rFonts w:ascii="宋体" w:eastAsia="宋体" w:hAnsi="宋体" w:cs="宋体" w:hint="eastAsia"/>
          <w:color w:val="auto"/>
          <w:sz w:val="28"/>
          <w:szCs w:val="28"/>
        </w:rPr>
        <w:t>建言献策</w:t>
      </w:r>
      <w:r>
        <w:rPr>
          <w:rFonts w:ascii="宋体" w:eastAsia="宋体" w:hAnsi="宋体" w:cs="宋体" w:hint="eastAsia"/>
          <w:color w:val="auto"/>
          <w:sz w:val="28"/>
          <w:szCs w:val="28"/>
        </w:rPr>
        <w:t>，助力天津历史文化名城建设。</w:t>
      </w:r>
    </w:p>
    <w:p w14:paraId="14570D03" w14:textId="77777777" w:rsidR="00CC059E" w:rsidRDefault="005B731A">
      <w:pPr>
        <w:pStyle w:val="Default"/>
        <w:ind w:firstLineChars="250" w:firstLine="700"/>
        <w:rPr>
          <w:rFonts w:ascii="宋体" w:eastAsia="宋体" w:hAnsi="宋体" w:cs="宋体"/>
          <w:color w:val="auto"/>
          <w:sz w:val="28"/>
          <w:szCs w:val="28"/>
        </w:rPr>
      </w:pPr>
      <w:r>
        <w:rPr>
          <w:rFonts w:ascii="宋体" w:eastAsia="宋体" w:hAnsi="宋体" w:cs="宋体" w:hint="eastAsia"/>
          <w:color w:val="auto"/>
          <w:sz w:val="28"/>
          <w:szCs w:val="28"/>
        </w:rPr>
        <w:lastRenderedPageBreak/>
        <w:t>持续对天津市域范围内的历史风貌建筑、革命遗址、工业遗产等不可移动文物进行了调查，利用三维扫描技术、航拍技术等对重点建筑建立了数字模型，为相关单位开展历史风貌建筑的保护、活化与再利用提供数据支撑服务。</w:t>
      </w:r>
      <w:r>
        <w:rPr>
          <w:rFonts w:ascii="宋体" w:eastAsia="宋体" w:hAnsi="宋体" w:cs="宋体" w:hint="eastAsia"/>
          <w:color w:val="auto"/>
          <w:sz w:val="28"/>
          <w:szCs w:val="28"/>
        </w:rPr>
        <w:t>2023</w:t>
      </w:r>
      <w:r>
        <w:rPr>
          <w:rFonts w:ascii="宋体" w:eastAsia="宋体" w:hAnsi="宋体" w:cs="宋体" w:hint="eastAsia"/>
          <w:color w:val="auto"/>
          <w:sz w:val="28"/>
          <w:szCs w:val="28"/>
        </w:rPr>
        <w:t>年获批省部级科研</w:t>
      </w:r>
      <w:r>
        <w:rPr>
          <w:rFonts w:ascii="宋体" w:eastAsia="宋体" w:hAnsi="宋体" w:cs="宋体" w:hint="eastAsia"/>
          <w:color w:val="auto"/>
          <w:sz w:val="28"/>
          <w:szCs w:val="28"/>
        </w:rPr>
        <w:t>11</w:t>
      </w:r>
      <w:r>
        <w:rPr>
          <w:rFonts w:ascii="宋体" w:eastAsia="宋体" w:hAnsi="宋体" w:cs="宋体" w:hint="eastAsia"/>
          <w:color w:val="auto"/>
          <w:sz w:val="28"/>
          <w:szCs w:val="28"/>
        </w:rPr>
        <w:t>项。</w:t>
      </w:r>
    </w:p>
    <w:p w14:paraId="6A9AEEC6" w14:textId="77777777" w:rsidR="00CC059E" w:rsidRDefault="005B731A">
      <w:pPr>
        <w:pStyle w:val="3"/>
        <w:ind w:firstLine="643"/>
        <w:rPr>
          <w:rFonts w:ascii="宋体" w:eastAsia="宋体" w:hAnsi="宋体" w:cs="Arial"/>
          <w:color w:val="000000"/>
          <w:kern w:val="0"/>
        </w:rPr>
      </w:pPr>
      <w:r>
        <w:rPr>
          <w:rFonts w:hint="eastAsia"/>
        </w:rPr>
        <w:t>2</w:t>
      </w:r>
      <w:r>
        <w:t>.5</w:t>
      </w:r>
      <w:r>
        <w:rPr>
          <w:rFonts w:hint="eastAsia"/>
        </w:rPr>
        <w:t>奖助体系</w:t>
      </w:r>
    </w:p>
    <w:p w14:paraId="54C71518" w14:textId="77777777" w:rsidR="00CC059E" w:rsidRDefault="005B731A" w:rsidP="00485B6C">
      <w:pPr>
        <w:pStyle w:val="4"/>
        <w:ind w:leftChars="71" w:left="199" w:firstLineChars="100" w:firstLine="281"/>
        <w:rPr>
          <w:rStyle w:val="40"/>
          <w:b/>
          <w:bCs/>
        </w:rPr>
      </w:pPr>
      <w:r>
        <w:rPr>
          <w:rStyle w:val="40"/>
          <w:b/>
          <w:bCs/>
        </w:rPr>
        <w:t>（</w:t>
      </w:r>
      <w:r>
        <w:rPr>
          <w:rStyle w:val="40"/>
          <w:rFonts w:hint="eastAsia"/>
          <w:b/>
          <w:bCs/>
        </w:rPr>
        <w:t>1</w:t>
      </w:r>
      <w:r>
        <w:rPr>
          <w:rStyle w:val="40"/>
          <w:b/>
          <w:bCs/>
        </w:rPr>
        <w:t>）</w:t>
      </w:r>
      <w:r>
        <w:rPr>
          <w:rStyle w:val="40"/>
          <w:rFonts w:hint="eastAsia"/>
          <w:b/>
          <w:bCs/>
        </w:rPr>
        <w:t>奖助体系</w:t>
      </w:r>
    </w:p>
    <w:p w14:paraId="74811A86" w14:textId="4CBABBAB" w:rsidR="00CC059E" w:rsidRDefault="005B731A">
      <w:pPr>
        <w:spacing w:line="360" w:lineRule="auto"/>
        <w:ind w:firstLine="560"/>
        <w:rPr>
          <w:rFonts w:ascii="宋体" w:hAnsi="宋体"/>
        </w:rPr>
      </w:pPr>
      <w:r>
        <w:rPr>
          <w:rFonts w:hint="eastAsia"/>
          <w:szCs w:val="28"/>
        </w:rPr>
        <w:t>学校具有完备的研究生奖助体系，研究生奖学金包括国家奖学金、三助奖学金和学业奖学金（</w:t>
      </w:r>
      <w:r>
        <w:rPr>
          <w:szCs w:val="28"/>
        </w:rPr>
        <w:t>表</w:t>
      </w:r>
      <w:r w:rsidR="00590E3A" w:rsidRPr="00F14566">
        <w:rPr>
          <w:rFonts w:ascii="宋体" w:hAnsi="宋体" w:hint="eastAsia"/>
          <w:szCs w:val="28"/>
        </w:rPr>
        <w:t>2</w:t>
      </w:r>
      <w:r>
        <w:rPr>
          <w:rFonts w:hint="eastAsia"/>
          <w:szCs w:val="28"/>
        </w:rPr>
        <w:t>）。</w:t>
      </w:r>
    </w:p>
    <w:p w14:paraId="17E37A99" w14:textId="38C44987" w:rsidR="00CC059E" w:rsidRPr="00F14566" w:rsidRDefault="005B731A">
      <w:pPr>
        <w:ind w:left="480" w:firstLine="420"/>
        <w:jc w:val="center"/>
        <w:rPr>
          <w:rFonts w:ascii="宋体" w:hAnsi="宋体"/>
          <w:bCs/>
          <w:sz w:val="21"/>
          <w:szCs w:val="21"/>
        </w:rPr>
      </w:pPr>
      <w:r w:rsidRPr="00F14566">
        <w:rPr>
          <w:rFonts w:ascii="宋体" w:hAnsi="宋体"/>
          <w:bCs/>
          <w:sz w:val="21"/>
          <w:szCs w:val="21"/>
        </w:rPr>
        <w:t>表</w:t>
      </w:r>
      <w:r w:rsidR="00590E3A" w:rsidRPr="00F14566">
        <w:rPr>
          <w:rFonts w:ascii="宋体" w:hAnsi="宋体" w:hint="eastAsia"/>
          <w:bCs/>
          <w:sz w:val="21"/>
          <w:szCs w:val="21"/>
        </w:rPr>
        <w:t xml:space="preserve">2 </w:t>
      </w:r>
      <w:r w:rsidRPr="00F14566">
        <w:rPr>
          <w:rFonts w:ascii="宋体" w:hAnsi="宋体"/>
          <w:bCs/>
          <w:sz w:val="21"/>
          <w:szCs w:val="21"/>
        </w:rPr>
        <w:t>研究生奖助体系情况汇总表</w:t>
      </w:r>
    </w:p>
    <w:tbl>
      <w:tblPr>
        <w:tblW w:w="8281"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836"/>
        <w:gridCol w:w="1701"/>
        <w:gridCol w:w="2693"/>
        <w:gridCol w:w="1991"/>
        <w:gridCol w:w="1060"/>
      </w:tblGrid>
      <w:tr w:rsidR="00CC059E" w14:paraId="676E67C8" w14:textId="77777777">
        <w:trPr>
          <w:trHeight w:val="364"/>
          <w:jc w:val="center"/>
        </w:trPr>
        <w:tc>
          <w:tcPr>
            <w:tcW w:w="836" w:type="dxa"/>
          </w:tcPr>
          <w:p w14:paraId="0CE2F310" w14:textId="77777777" w:rsidR="00CC059E" w:rsidRDefault="005B731A" w:rsidP="00F14566">
            <w:pPr>
              <w:jc w:val="center"/>
              <w:rPr>
                <w:rFonts w:ascii="宋体" w:hAnsi="宋体"/>
                <w:b/>
                <w:sz w:val="21"/>
                <w:szCs w:val="21"/>
              </w:rPr>
            </w:pPr>
            <w:r>
              <w:rPr>
                <w:rFonts w:ascii="宋体" w:hAnsi="宋体"/>
                <w:b/>
                <w:sz w:val="21"/>
                <w:szCs w:val="21"/>
              </w:rPr>
              <w:t>序号</w:t>
            </w:r>
          </w:p>
        </w:tc>
        <w:tc>
          <w:tcPr>
            <w:tcW w:w="1701" w:type="dxa"/>
          </w:tcPr>
          <w:p w14:paraId="7993581E" w14:textId="77777777" w:rsidR="00CC059E" w:rsidRDefault="005B731A" w:rsidP="00F14566">
            <w:pPr>
              <w:jc w:val="center"/>
              <w:rPr>
                <w:rFonts w:ascii="宋体" w:hAnsi="宋体"/>
                <w:b/>
                <w:sz w:val="21"/>
                <w:szCs w:val="21"/>
              </w:rPr>
            </w:pPr>
            <w:r>
              <w:rPr>
                <w:rFonts w:ascii="宋体" w:hAnsi="宋体"/>
                <w:b/>
                <w:sz w:val="21"/>
                <w:szCs w:val="21"/>
              </w:rPr>
              <w:t>奖、助、贷名称</w:t>
            </w:r>
          </w:p>
        </w:tc>
        <w:tc>
          <w:tcPr>
            <w:tcW w:w="2693" w:type="dxa"/>
          </w:tcPr>
          <w:p w14:paraId="24A876A7" w14:textId="77777777" w:rsidR="00CC059E" w:rsidRDefault="005B731A" w:rsidP="00F14566">
            <w:pPr>
              <w:jc w:val="center"/>
              <w:rPr>
                <w:rFonts w:ascii="宋体" w:hAnsi="宋体"/>
                <w:b/>
                <w:sz w:val="21"/>
                <w:szCs w:val="21"/>
              </w:rPr>
            </w:pPr>
            <w:r>
              <w:rPr>
                <w:rFonts w:ascii="宋体" w:hAnsi="宋体"/>
                <w:b/>
                <w:sz w:val="21"/>
                <w:szCs w:val="21"/>
              </w:rPr>
              <w:t>资助水平</w:t>
            </w:r>
            <w:r>
              <w:rPr>
                <w:rFonts w:ascii="宋体" w:hAnsi="宋体" w:hint="eastAsia"/>
                <w:b/>
                <w:sz w:val="21"/>
                <w:szCs w:val="21"/>
              </w:rPr>
              <w:t>（元</w:t>
            </w:r>
            <w:r>
              <w:rPr>
                <w:rFonts w:ascii="宋体" w:hAnsi="宋体" w:hint="eastAsia"/>
                <w:b/>
                <w:sz w:val="21"/>
                <w:szCs w:val="21"/>
              </w:rPr>
              <w:t>/</w:t>
            </w:r>
            <w:r>
              <w:rPr>
                <w:rFonts w:ascii="宋体" w:hAnsi="宋体" w:hint="eastAsia"/>
                <w:b/>
                <w:sz w:val="21"/>
                <w:szCs w:val="21"/>
              </w:rPr>
              <w:t>人）</w:t>
            </w:r>
          </w:p>
        </w:tc>
        <w:tc>
          <w:tcPr>
            <w:tcW w:w="1991" w:type="dxa"/>
          </w:tcPr>
          <w:p w14:paraId="6DDCB2F7" w14:textId="77777777" w:rsidR="00CC059E" w:rsidRDefault="005B731A" w:rsidP="00F14566">
            <w:pPr>
              <w:jc w:val="center"/>
              <w:rPr>
                <w:rFonts w:ascii="宋体" w:hAnsi="宋体"/>
                <w:b/>
                <w:sz w:val="21"/>
                <w:szCs w:val="21"/>
              </w:rPr>
            </w:pPr>
            <w:r>
              <w:rPr>
                <w:rFonts w:ascii="宋体" w:hAnsi="宋体"/>
                <w:b/>
                <w:sz w:val="21"/>
                <w:szCs w:val="21"/>
              </w:rPr>
              <w:t>资助对象</w:t>
            </w:r>
          </w:p>
        </w:tc>
        <w:tc>
          <w:tcPr>
            <w:tcW w:w="1060" w:type="dxa"/>
          </w:tcPr>
          <w:p w14:paraId="46CAA6D1" w14:textId="77777777" w:rsidR="00CC059E" w:rsidRDefault="005B731A" w:rsidP="00F14566">
            <w:pPr>
              <w:jc w:val="center"/>
              <w:rPr>
                <w:rFonts w:ascii="宋体" w:hAnsi="宋体"/>
                <w:b/>
                <w:sz w:val="21"/>
                <w:szCs w:val="21"/>
              </w:rPr>
            </w:pPr>
            <w:r>
              <w:rPr>
                <w:rFonts w:ascii="宋体" w:hAnsi="宋体"/>
                <w:b/>
                <w:sz w:val="21"/>
                <w:szCs w:val="21"/>
              </w:rPr>
              <w:t>覆盖比率</w:t>
            </w:r>
          </w:p>
        </w:tc>
      </w:tr>
      <w:tr w:rsidR="00CC059E" w14:paraId="17EC0752" w14:textId="77777777">
        <w:trPr>
          <w:jc w:val="center"/>
        </w:trPr>
        <w:tc>
          <w:tcPr>
            <w:tcW w:w="836" w:type="dxa"/>
            <w:vAlign w:val="center"/>
          </w:tcPr>
          <w:p w14:paraId="119044EB" w14:textId="77777777" w:rsidR="00CC059E" w:rsidRDefault="005B731A" w:rsidP="00F14566">
            <w:pPr>
              <w:spacing w:line="300" w:lineRule="auto"/>
              <w:jc w:val="center"/>
              <w:rPr>
                <w:rFonts w:ascii="宋体" w:hAnsi="宋体"/>
                <w:sz w:val="21"/>
                <w:szCs w:val="21"/>
              </w:rPr>
            </w:pPr>
            <w:r>
              <w:rPr>
                <w:rFonts w:ascii="宋体" w:hAnsi="宋体" w:hint="eastAsia"/>
                <w:sz w:val="21"/>
                <w:szCs w:val="21"/>
              </w:rPr>
              <w:t>1</w:t>
            </w:r>
          </w:p>
        </w:tc>
        <w:tc>
          <w:tcPr>
            <w:tcW w:w="1701" w:type="dxa"/>
            <w:vAlign w:val="center"/>
          </w:tcPr>
          <w:p w14:paraId="66B09601" w14:textId="77777777" w:rsidR="00CC059E" w:rsidRDefault="005B731A" w:rsidP="00F14566">
            <w:pPr>
              <w:spacing w:line="300" w:lineRule="auto"/>
              <w:jc w:val="center"/>
              <w:rPr>
                <w:rFonts w:ascii="宋体" w:hAnsi="宋体"/>
                <w:sz w:val="21"/>
                <w:szCs w:val="21"/>
              </w:rPr>
            </w:pPr>
            <w:r>
              <w:rPr>
                <w:rFonts w:ascii="宋体" w:hAnsi="宋体" w:hint="eastAsia"/>
                <w:sz w:val="21"/>
                <w:szCs w:val="21"/>
              </w:rPr>
              <w:t>国家奖学金</w:t>
            </w:r>
          </w:p>
        </w:tc>
        <w:tc>
          <w:tcPr>
            <w:tcW w:w="2693" w:type="dxa"/>
            <w:vAlign w:val="center"/>
          </w:tcPr>
          <w:p w14:paraId="1F778BC4" w14:textId="77777777" w:rsidR="00CC059E" w:rsidRDefault="005B731A" w:rsidP="00F14566">
            <w:pPr>
              <w:spacing w:line="300" w:lineRule="auto"/>
              <w:jc w:val="center"/>
              <w:rPr>
                <w:rFonts w:ascii="宋体" w:hAnsi="宋体"/>
                <w:sz w:val="21"/>
                <w:szCs w:val="21"/>
              </w:rPr>
            </w:pPr>
            <w:r>
              <w:rPr>
                <w:rFonts w:ascii="宋体" w:hAnsi="宋体"/>
                <w:sz w:val="21"/>
                <w:szCs w:val="21"/>
              </w:rPr>
              <w:t>20</w:t>
            </w:r>
            <w:r>
              <w:rPr>
                <w:rFonts w:ascii="宋体" w:hAnsi="宋体" w:hint="eastAsia"/>
                <w:sz w:val="21"/>
                <w:szCs w:val="21"/>
              </w:rPr>
              <w:t>000</w:t>
            </w:r>
          </w:p>
        </w:tc>
        <w:tc>
          <w:tcPr>
            <w:tcW w:w="1991" w:type="dxa"/>
            <w:vAlign w:val="center"/>
          </w:tcPr>
          <w:p w14:paraId="4839AB28" w14:textId="77777777" w:rsidR="00CC059E" w:rsidRDefault="005B731A" w:rsidP="00F14566">
            <w:pPr>
              <w:spacing w:line="300" w:lineRule="auto"/>
              <w:jc w:val="center"/>
              <w:rPr>
                <w:rFonts w:ascii="宋体" w:hAnsi="宋体"/>
                <w:sz w:val="21"/>
                <w:szCs w:val="21"/>
              </w:rPr>
            </w:pPr>
            <w:r>
              <w:rPr>
                <w:rFonts w:ascii="宋体" w:hAnsi="宋体" w:hint="eastAsia"/>
                <w:sz w:val="21"/>
                <w:szCs w:val="21"/>
              </w:rPr>
              <w:t>在读研究生</w:t>
            </w:r>
          </w:p>
        </w:tc>
        <w:tc>
          <w:tcPr>
            <w:tcW w:w="1060" w:type="dxa"/>
            <w:vAlign w:val="center"/>
          </w:tcPr>
          <w:p w14:paraId="6767E5E9" w14:textId="77777777" w:rsidR="00CC059E" w:rsidRDefault="005B731A" w:rsidP="00F14566">
            <w:pPr>
              <w:spacing w:line="300" w:lineRule="auto"/>
              <w:jc w:val="center"/>
              <w:rPr>
                <w:rFonts w:ascii="宋体" w:hAnsi="宋体"/>
                <w:sz w:val="21"/>
                <w:szCs w:val="21"/>
              </w:rPr>
            </w:pPr>
            <w:r>
              <w:rPr>
                <w:rFonts w:ascii="宋体" w:hAnsi="宋体"/>
                <w:sz w:val="21"/>
                <w:szCs w:val="21"/>
              </w:rPr>
              <w:t>1.5</w:t>
            </w:r>
            <w:r>
              <w:rPr>
                <w:rFonts w:ascii="宋体" w:hAnsi="宋体" w:hint="eastAsia"/>
                <w:sz w:val="21"/>
                <w:szCs w:val="21"/>
              </w:rPr>
              <w:t>%</w:t>
            </w:r>
          </w:p>
        </w:tc>
      </w:tr>
      <w:tr w:rsidR="00CC059E" w14:paraId="5C9639E5" w14:textId="77777777">
        <w:trPr>
          <w:trHeight w:val="313"/>
          <w:jc w:val="center"/>
        </w:trPr>
        <w:tc>
          <w:tcPr>
            <w:tcW w:w="836" w:type="dxa"/>
            <w:vAlign w:val="center"/>
          </w:tcPr>
          <w:p w14:paraId="54E188F0" w14:textId="77777777" w:rsidR="00CC059E" w:rsidRDefault="005B731A" w:rsidP="00F14566">
            <w:pPr>
              <w:spacing w:line="300" w:lineRule="auto"/>
              <w:jc w:val="center"/>
              <w:rPr>
                <w:rFonts w:ascii="宋体" w:hAnsi="宋体"/>
                <w:sz w:val="21"/>
                <w:szCs w:val="21"/>
              </w:rPr>
            </w:pPr>
            <w:r>
              <w:rPr>
                <w:rFonts w:ascii="宋体" w:hAnsi="宋体" w:hint="eastAsia"/>
                <w:sz w:val="21"/>
                <w:szCs w:val="21"/>
              </w:rPr>
              <w:t>2</w:t>
            </w:r>
          </w:p>
        </w:tc>
        <w:tc>
          <w:tcPr>
            <w:tcW w:w="1701" w:type="dxa"/>
            <w:vAlign w:val="center"/>
          </w:tcPr>
          <w:p w14:paraId="6B4F4935" w14:textId="77777777" w:rsidR="00CC059E" w:rsidRDefault="005B731A" w:rsidP="00F14566">
            <w:pPr>
              <w:spacing w:line="300" w:lineRule="auto"/>
              <w:jc w:val="center"/>
              <w:rPr>
                <w:rFonts w:ascii="宋体" w:hAnsi="宋体"/>
                <w:sz w:val="21"/>
                <w:szCs w:val="21"/>
              </w:rPr>
            </w:pPr>
            <w:r>
              <w:rPr>
                <w:rFonts w:ascii="宋体" w:hAnsi="宋体" w:hint="eastAsia"/>
                <w:sz w:val="21"/>
                <w:szCs w:val="21"/>
              </w:rPr>
              <w:t>“三助”奖学金</w:t>
            </w:r>
          </w:p>
        </w:tc>
        <w:tc>
          <w:tcPr>
            <w:tcW w:w="2693" w:type="dxa"/>
            <w:vAlign w:val="center"/>
          </w:tcPr>
          <w:p w14:paraId="5BB87747" w14:textId="77777777" w:rsidR="00CC059E" w:rsidRDefault="005B731A" w:rsidP="00F14566">
            <w:pPr>
              <w:spacing w:line="300" w:lineRule="auto"/>
              <w:jc w:val="center"/>
              <w:rPr>
                <w:rFonts w:ascii="宋体" w:hAnsi="宋体"/>
                <w:sz w:val="21"/>
                <w:szCs w:val="21"/>
              </w:rPr>
            </w:pPr>
            <w:r>
              <w:rPr>
                <w:rFonts w:ascii="宋体" w:hAnsi="宋体"/>
                <w:sz w:val="21"/>
                <w:szCs w:val="21"/>
              </w:rPr>
              <w:t>6</w:t>
            </w:r>
            <w:r>
              <w:rPr>
                <w:rFonts w:ascii="宋体" w:hAnsi="宋体" w:hint="eastAsia"/>
                <w:sz w:val="21"/>
                <w:szCs w:val="21"/>
              </w:rPr>
              <w:t>000</w:t>
            </w:r>
          </w:p>
        </w:tc>
        <w:tc>
          <w:tcPr>
            <w:tcW w:w="1991" w:type="dxa"/>
            <w:vAlign w:val="center"/>
          </w:tcPr>
          <w:p w14:paraId="4EC4D6E7" w14:textId="77777777" w:rsidR="00CC059E" w:rsidRDefault="005B731A" w:rsidP="00F14566">
            <w:pPr>
              <w:spacing w:line="300" w:lineRule="auto"/>
              <w:jc w:val="center"/>
              <w:rPr>
                <w:rFonts w:ascii="宋体" w:hAnsi="宋体"/>
                <w:sz w:val="21"/>
                <w:szCs w:val="21"/>
              </w:rPr>
            </w:pPr>
            <w:r>
              <w:rPr>
                <w:rFonts w:ascii="宋体" w:hAnsi="宋体" w:hint="eastAsia"/>
                <w:sz w:val="21"/>
                <w:szCs w:val="21"/>
              </w:rPr>
              <w:t>在读研究生</w:t>
            </w:r>
          </w:p>
        </w:tc>
        <w:tc>
          <w:tcPr>
            <w:tcW w:w="1060" w:type="dxa"/>
            <w:vAlign w:val="center"/>
          </w:tcPr>
          <w:p w14:paraId="70753C46" w14:textId="77777777" w:rsidR="00CC059E" w:rsidRDefault="005B731A" w:rsidP="00F14566">
            <w:pPr>
              <w:spacing w:line="300" w:lineRule="auto"/>
              <w:jc w:val="center"/>
              <w:rPr>
                <w:rFonts w:ascii="宋体" w:hAnsi="宋体"/>
                <w:sz w:val="21"/>
                <w:szCs w:val="21"/>
              </w:rPr>
            </w:pPr>
            <w:r>
              <w:rPr>
                <w:rFonts w:ascii="宋体" w:hAnsi="宋体" w:hint="eastAsia"/>
                <w:sz w:val="21"/>
                <w:szCs w:val="21"/>
              </w:rPr>
              <w:t>100%</w:t>
            </w:r>
          </w:p>
        </w:tc>
      </w:tr>
      <w:tr w:rsidR="00CC059E" w14:paraId="7CDE7B9C" w14:textId="77777777">
        <w:trPr>
          <w:jc w:val="center"/>
        </w:trPr>
        <w:tc>
          <w:tcPr>
            <w:tcW w:w="836" w:type="dxa"/>
            <w:vAlign w:val="center"/>
          </w:tcPr>
          <w:p w14:paraId="0A37F8C3" w14:textId="77777777" w:rsidR="00CC059E" w:rsidRDefault="005B731A" w:rsidP="00F14566">
            <w:pPr>
              <w:spacing w:line="300" w:lineRule="auto"/>
              <w:jc w:val="center"/>
              <w:rPr>
                <w:rFonts w:ascii="宋体" w:hAnsi="宋体"/>
                <w:sz w:val="21"/>
                <w:szCs w:val="21"/>
              </w:rPr>
            </w:pPr>
            <w:r>
              <w:rPr>
                <w:rFonts w:ascii="宋体" w:hAnsi="宋体"/>
                <w:sz w:val="21"/>
                <w:szCs w:val="21"/>
              </w:rPr>
              <w:t>3</w:t>
            </w:r>
          </w:p>
        </w:tc>
        <w:tc>
          <w:tcPr>
            <w:tcW w:w="1701" w:type="dxa"/>
            <w:vAlign w:val="center"/>
          </w:tcPr>
          <w:p w14:paraId="204EF9E7" w14:textId="77777777" w:rsidR="00CC059E" w:rsidRDefault="005B731A" w:rsidP="00F14566">
            <w:pPr>
              <w:spacing w:line="300" w:lineRule="auto"/>
              <w:jc w:val="center"/>
              <w:rPr>
                <w:rFonts w:ascii="宋体" w:hAnsi="宋体"/>
                <w:sz w:val="21"/>
                <w:szCs w:val="21"/>
              </w:rPr>
            </w:pPr>
            <w:r>
              <w:rPr>
                <w:rFonts w:ascii="宋体" w:hAnsi="宋体"/>
                <w:sz w:val="21"/>
                <w:szCs w:val="21"/>
              </w:rPr>
              <w:t>学业奖学金</w:t>
            </w:r>
          </w:p>
        </w:tc>
        <w:tc>
          <w:tcPr>
            <w:tcW w:w="2693" w:type="dxa"/>
            <w:vAlign w:val="center"/>
          </w:tcPr>
          <w:p w14:paraId="10D5DB14" w14:textId="77777777" w:rsidR="00CC059E" w:rsidRDefault="005B731A" w:rsidP="00F14566">
            <w:pPr>
              <w:spacing w:line="300" w:lineRule="auto"/>
              <w:jc w:val="center"/>
              <w:rPr>
                <w:rFonts w:ascii="宋体" w:hAnsi="宋体"/>
                <w:sz w:val="21"/>
                <w:szCs w:val="21"/>
              </w:rPr>
            </w:pPr>
            <w:r>
              <w:rPr>
                <w:rFonts w:ascii="宋体" w:hAnsi="宋体" w:hint="eastAsia"/>
                <w:sz w:val="21"/>
                <w:szCs w:val="21"/>
              </w:rPr>
              <w:t>10000</w:t>
            </w:r>
            <w:r>
              <w:rPr>
                <w:rFonts w:ascii="宋体" w:hAnsi="宋体" w:hint="eastAsia"/>
                <w:sz w:val="21"/>
                <w:szCs w:val="21"/>
              </w:rPr>
              <w:t>、</w:t>
            </w:r>
            <w:r>
              <w:rPr>
                <w:rFonts w:ascii="宋体" w:hAnsi="宋体" w:hint="eastAsia"/>
                <w:sz w:val="21"/>
                <w:szCs w:val="21"/>
              </w:rPr>
              <w:t>8000</w:t>
            </w:r>
            <w:r>
              <w:rPr>
                <w:rFonts w:ascii="宋体" w:hAnsi="宋体" w:hint="eastAsia"/>
                <w:sz w:val="21"/>
                <w:szCs w:val="21"/>
              </w:rPr>
              <w:t>、</w:t>
            </w:r>
            <w:r>
              <w:rPr>
                <w:rFonts w:ascii="宋体" w:hAnsi="宋体" w:hint="eastAsia"/>
                <w:sz w:val="21"/>
                <w:szCs w:val="21"/>
              </w:rPr>
              <w:t>6000</w:t>
            </w:r>
            <w:r>
              <w:rPr>
                <w:rFonts w:ascii="宋体" w:hAnsi="宋体" w:hint="eastAsia"/>
                <w:sz w:val="21"/>
                <w:szCs w:val="21"/>
              </w:rPr>
              <w:t>、</w:t>
            </w:r>
            <w:r>
              <w:rPr>
                <w:rFonts w:ascii="宋体" w:hAnsi="宋体" w:hint="eastAsia"/>
                <w:sz w:val="21"/>
                <w:szCs w:val="21"/>
              </w:rPr>
              <w:t>4000</w:t>
            </w:r>
          </w:p>
        </w:tc>
        <w:tc>
          <w:tcPr>
            <w:tcW w:w="1991" w:type="dxa"/>
            <w:vAlign w:val="center"/>
          </w:tcPr>
          <w:p w14:paraId="77423EAB" w14:textId="77777777" w:rsidR="00CC059E" w:rsidRDefault="005B731A" w:rsidP="00F14566">
            <w:pPr>
              <w:spacing w:line="300" w:lineRule="auto"/>
              <w:jc w:val="center"/>
              <w:rPr>
                <w:rFonts w:ascii="宋体" w:hAnsi="宋体"/>
                <w:sz w:val="21"/>
                <w:szCs w:val="21"/>
              </w:rPr>
            </w:pPr>
            <w:r>
              <w:rPr>
                <w:rFonts w:ascii="宋体" w:hAnsi="宋体" w:hint="eastAsia"/>
                <w:sz w:val="21"/>
                <w:szCs w:val="21"/>
              </w:rPr>
              <w:t>在读研究生</w:t>
            </w:r>
          </w:p>
        </w:tc>
        <w:tc>
          <w:tcPr>
            <w:tcW w:w="1060" w:type="dxa"/>
            <w:vAlign w:val="center"/>
          </w:tcPr>
          <w:p w14:paraId="436B0CFF" w14:textId="77777777" w:rsidR="00CC059E" w:rsidRDefault="005B731A" w:rsidP="00F14566">
            <w:pPr>
              <w:spacing w:line="300" w:lineRule="auto"/>
              <w:jc w:val="center"/>
              <w:rPr>
                <w:rFonts w:ascii="宋体" w:hAnsi="宋体"/>
                <w:sz w:val="21"/>
                <w:szCs w:val="21"/>
              </w:rPr>
            </w:pPr>
            <w:r>
              <w:rPr>
                <w:rFonts w:ascii="宋体" w:hAnsi="宋体" w:hint="eastAsia"/>
                <w:sz w:val="21"/>
                <w:szCs w:val="21"/>
              </w:rPr>
              <w:t>94.9%</w:t>
            </w:r>
          </w:p>
        </w:tc>
      </w:tr>
    </w:tbl>
    <w:p w14:paraId="7E38FBDD" w14:textId="50939623" w:rsidR="00CC059E" w:rsidRDefault="005B731A" w:rsidP="00485B6C">
      <w:pPr>
        <w:pStyle w:val="4"/>
        <w:ind w:leftChars="71" w:left="199" w:firstLineChars="100" w:firstLine="281"/>
        <w:rPr>
          <w:rStyle w:val="40"/>
          <w:b/>
          <w:bCs/>
        </w:rPr>
      </w:pPr>
      <w:r>
        <w:rPr>
          <w:rStyle w:val="40"/>
          <w:b/>
          <w:bCs/>
        </w:rPr>
        <w:t>（</w:t>
      </w:r>
      <w:r>
        <w:rPr>
          <w:rStyle w:val="40"/>
          <w:rFonts w:hint="eastAsia"/>
          <w:b/>
          <w:bCs/>
        </w:rPr>
        <w:t>2</w:t>
      </w:r>
      <w:r>
        <w:rPr>
          <w:rStyle w:val="40"/>
          <w:b/>
          <w:bCs/>
        </w:rPr>
        <w:t>）</w:t>
      </w:r>
      <w:r>
        <w:rPr>
          <w:rStyle w:val="40"/>
          <w:rFonts w:hint="eastAsia"/>
          <w:b/>
          <w:bCs/>
        </w:rPr>
        <w:t>奖励情况</w:t>
      </w:r>
    </w:p>
    <w:p w14:paraId="6B235893" w14:textId="77777777" w:rsidR="00CC059E" w:rsidRDefault="005B731A">
      <w:pPr>
        <w:spacing w:line="360" w:lineRule="auto"/>
        <w:ind w:firstLine="560"/>
        <w:rPr>
          <w:rFonts w:ascii="宋体" w:hAnsi="宋体" w:cs="宋体"/>
          <w:kern w:val="0"/>
          <w:szCs w:val="28"/>
        </w:rPr>
      </w:pPr>
      <w:r>
        <w:rPr>
          <w:rFonts w:ascii="宋体" w:hAnsi="宋体" w:cs="宋体" w:hint="eastAsia"/>
          <w:kern w:val="0"/>
          <w:szCs w:val="28"/>
        </w:rPr>
        <w:t>2023</w:t>
      </w:r>
      <w:r>
        <w:rPr>
          <w:rFonts w:ascii="宋体" w:hAnsi="宋体" w:cs="宋体" w:hint="eastAsia"/>
          <w:kern w:val="0"/>
          <w:szCs w:val="28"/>
        </w:rPr>
        <w:t>年</w:t>
      </w:r>
      <w:r>
        <w:rPr>
          <w:rFonts w:ascii="宋体" w:hAnsi="宋体" w:cs="宋体" w:hint="eastAsia"/>
          <w:kern w:val="0"/>
          <w:szCs w:val="28"/>
        </w:rPr>
        <w:t>23</w:t>
      </w:r>
      <w:r>
        <w:rPr>
          <w:rFonts w:ascii="宋体" w:hAnsi="宋体" w:cs="宋体" w:hint="eastAsia"/>
          <w:kern w:val="0"/>
          <w:szCs w:val="28"/>
        </w:rPr>
        <w:t>人获得学业奖学金一等奖、</w:t>
      </w:r>
      <w:r>
        <w:rPr>
          <w:rFonts w:ascii="宋体" w:hAnsi="宋体" w:cs="宋体" w:hint="eastAsia"/>
          <w:kern w:val="0"/>
          <w:szCs w:val="28"/>
        </w:rPr>
        <w:t>57</w:t>
      </w:r>
      <w:r>
        <w:rPr>
          <w:rFonts w:ascii="宋体" w:hAnsi="宋体" w:cs="宋体" w:hint="eastAsia"/>
          <w:kern w:val="0"/>
          <w:szCs w:val="28"/>
        </w:rPr>
        <w:t>人获学业奖学金二等奖、</w:t>
      </w:r>
      <w:r>
        <w:rPr>
          <w:rFonts w:ascii="宋体" w:hAnsi="宋体" w:cs="宋体" w:hint="eastAsia"/>
          <w:kern w:val="0"/>
          <w:szCs w:val="28"/>
        </w:rPr>
        <w:t>32</w:t>
      </w:r>
      <w:r>
        <w:rPr>
          <w:rFonts w:ascii="宋体" w:hAnsi="宋体" w:cs="宋体" w:hint="eastAsia"/>
          <w:kern w:val="0"/>
          <w:szCs w:val="28"/>
        </w:rPr>
        <w:t>人获得新生奖学金。</w:t>
      </w:r>
    </w:p>
    <w:p w14:paraId="4609F304" w14:textId="77777777" w:rsidR="00CC059E" w:rsidRDefault="005B731A">
      <w:pPr>
        <w:spacing w:line="360" w:lineRule="auto"/>
        <w:ind w:firstLine="560"/>
        <w:rPr>
          <w:rFonts w:ascii="宋体" w:hAnsi="宋体" w:cs="宋体"/>
          <w:kern w:val="0"/>
          <w:szCs w:val="28"/>
        </w:rPr>
      </w:pPr>
      <w:r>
        <w:rPr>
          <w:rFonts w:ascii="宋体" w:hAnsi="宋体" w:cs="宋体" w:hint="eastAsia"/>
          <w:kern w:val="0"/>
          <w:szCs w:val="28"/>
        </w:rPr>
        <w:t>每年对研究生进行优秀研究生、优秀研究生干部和优秀研究生毕业生等荣誉进行评选。</w:t>
      </w:r>
      <w:r>
        <w:rPr>
          <w:rFonts w:ascii="宋体" w:hAnsi="宋体" w:cs="宋体" w:hint="eastAsia"/>
          <w:kern w:val="0"/>
          <w:szCs w:val="28"/>
        </w:rPr>
        <w:t>2023</w:t>
      </w:r>
      <w:r>
        <w:rPr>
          <w:rFonts w:ascii="宋体" w:hAnsi="宋体" w:cs="宋体" w:hint="eastAsia"/>
          <w:kern w:val="0"/>
          <w:szCs w:val="28"/>
        </w:rPr>
        <w:t>年本学位点</w:t>
      </w:r>
      <w:r>
        <w:rPr>
          <w:rFonts w:ascii="宋体" w:hAnsi="宋体" w:cs="宋体" w:hint="eastAsia"/>
          <w:kern w:val="0"/>
          <w:szCs w:val="28"/>
        </w:rPr>
        <w:t>1</w:t>
      </w:r>
      <w:r>
        <w:rPr>
          <w:rFonts w:ascii="宋体" w:hAnsi="宋体" w:cs="宋体" w:hint="eastAsia"/>
          <w:kern w:val="0"/>
          <w:szCs w:val="28"/>
        </w:rPr>
        <w:t>名研究生获得校优秀研究生干部，</w:t>
      </w:r>
      <w:r>
        <w:rPr>
          <w:rFonts w:ascii="宋体" w:hAnsi="宋体" w:cs="宋体" w:hint="eastAsia"/>
          <w:kern w:val="0"/>
          <w:szCs w:val="28"/>
        </w:rPr>
        <w:t>1</w:t>
      </w:r>
      <w:r>
        <w:rPr>
          <w:rFonts w:ascii="宋体" w:hAnsi="宋体" w:cs="宋体" w:hint="eastAsia"/>
          <w:kern w:val="0"/>
          <w:szCs w:val="28"/>
        </w:rPr>
        <w:t>名研究生获得院优秀研究生干部荣誉称号，</w:t>
      </w:r>
      <w:r>
        <w:rPr>
          <w:rFonts w:ascii="宋体" w:hAnsi="宋体" w:cs="宋体" w:hint="eastAsia"/>
          <w:kern w:val="0"/>
          <w:szCs w:val="28"/>
        </w:rPr>
        <w:t>1</w:t>
      </w:r>
      <w:r>
        <w:rPr>
          <w:rFonts w:ascii="宋体" w:hAnsi="宋体" w:cs="宋体" w:hint="eastAsia"/>
          <w:kern w:val="0"/>
          <w:szCs w:val="28"/>
        </w:rPr>
        <w:t>名研究生获得院优秀研究生干部。</w:t>
      </w:r>
    </w:p>
    <w:p w14:paraId="06BCC4C9" w14:textId="77777777" w:rsidR="00CC059E" w:rsidRDefault="005B731A">
      <w:pPr>
        <w:pStyle w:val="2"/>
        <w:ind w:firstLine="643"/>
      </w:pPr>
      <w:r>
        <w:lastRenderedPageBreak/>
        <w:t>三、人才培养</w:t>
      </w:r>
    </w:p>
    <w:p w14:paraId="12D60ED1" w14:textId="77777777" w:rsidR="00CC059E" w:rsidRDefault="005B731A">
      <w:pPr>
        <w:pStyle w:val="3"/>
        <w:ind w:firstLine="643"/>
      </w:pPr>
      <w:r>
        <w:rPr>
          <w:rFonts w:hint="eastAsia"/>
        </w:rPr>
        <w:t>3</w:t>
      </w:r>
      <w:r>
        <w:t>.1</w:t>
      </w:r>
      <w:r>
        <w:t>招生选拔</w:t>
      </w:r>
    </w:p>
    <w:p w14:paraId="39031974" w14:textId="77777777" w:rsidR="00CC059E" w:rsidRDefault="005B731A">
      <w:pPr>
        <w:spacing w:line="360" w:lineRule="auto"/>
        <w:ind w:firstLine="560"/>
        <w:rPr>
          <w:rFonts w:ascii="宋体" w:hAnsi="宋体" w:cs="宋体"/>
          <w:szCs w:val="28"/>
        </w:rPr>
      </w:pPr>
      <w:r>
        <w:rPr>
          <w:rFonts w:ascii="宋体" w:hAnsi="宋体" w:cs="宋体" w:hint="eastAsia"/>
          <w:szCs w:val="28"/>
        </w:rPr>
        <w:t>2023</w:t>
      </w:r>
      <w:r>
        <w:rPr>
          <w:rFonts w:ascii="宋体" w:hAnsi="宋体" w:cs="宋体" w:hint="eastAsia"/>
          <w:szCs w:val="28"/>
        </w:rPr>
        <w:t>年研究生招生工作全部完成，圆满完成招生计划，建筑学专业学位录取</w:t>
      </w:r>
      <w:r>
        <w:rPr>
          <w:rFonts w:ascii="宋体" w:hAnsi="宋体" w:cs="宋体" w:hint="eastAsia"/>
          <w:szCs w:val="28"/>
        </w:rPr>
        <w:t>30</w:t>
      </w:r>
      <w:r>
        <w:rPr>
          <w:rFonts w:ascii="宋体" w:hAnsi="宋体" w:cs="宋体" w:hint="eastAsia"/>
          <w:szCs w:val="28"/>
        </w:rPr>
        <w:t>人（其中国际工程学院招生</w:t>
      </w:r>
      <w:r>
        <w:rPr>
          <w:rFonts w:ascii="宋体" w:hAnsi="宋体" w:cs="宋体" w:hint="eastAsia"/>
          <w:szCs w:val="28"/>
        </w:rPr>
        <w:t>15</w:t>
      </w:r>
      <w:r>
        <w:rPr>
          <w:rFonts w:ascii="宋体" w:hAnsi="宋体" w:cs="宋体" w:hint="eastAsia"/>
          <w:szCs w:val="28"/>
        </w:rPr>
        <w:t>人）。</w:t>
      </w:r>
    </w:p>
    <w:p w14:paraId="46F45374" w14:textId="77777777" w:rsidR="00CC059E" w:rsidRDefault="005B731A">
      <w:pPr>
        <w:spacing w:line="360" w:lineRule="auto"/>
        <w:ind w:firstLine="560"/>
        <w:rPr>
          <w:rFonts w:ascii="宋体" w:hAnsi="宋体"/>
        </w:rPr>
      </w:pPr>
      <w:r>
        <w:rPr>
          <w:rFonts w:ascii="宋体" w:hAnsi="宋体" w:cs="宋体" w:hint="eastAsia"/>
          <w:szCs w:val="28"/>
        </w:rPr>
        <w:t>目前本学位</w:t>
      </w:r>
      <w:r>
        <w:rPr>
          <w:rFonts w:hint="eastAsia"/>
          <w:szCs w:val="28"/>
        </w:rPr>
        <w:t>点</w:t>
      </w:r>
      <w:r>
        <w:rPr>
          <w:rFonts w:ascii="宋体" w:hAnsi="宋体" w:cs="宋体" w:hint="eastAsia"/>
          <w:szCs w:val="28"/>
        </w:rPr>
        <w:t>在校研究生人数为</w:t>
      </w:r>
      <w:r>
        <w:rPr>
          <w:rFonts w:ascii="宋体" w:hAnsi="宋体" w:cs="宋体" w:hint="eastAsia"/>
          <w:szCs w:val="28"/>
        </w:rPr>
        <w:t>118</w:t>
      </w:r>
      <w:r>
        <w:rPr>
          <w:rFonts w:ascii="宋体" w:hAnsi="宋体" w:cs="宋体" w:hint="eastAsia"/>
          <w:szCs w:val="28"/>
        </w:rPr>
        <w:t>人（</w:t>
      </w:r>
      <w:r>
        <w:rPr>
          <w:rFonts w:ascii="宋体" w:hAnsi="宋体" w:cs="宋体" w:hint="eastAsia"/>
          <w:szCs w:val="28"/>
        </w:rPr>
        <w:t>2021</w:t>
      </w:r>
      <w:r>
        <w:rPr>
          <w:rFonts w:ascii="宋体" w:hAnsi="宋体" w:cs="宋体" w:hint="eastAsia"/>
          <w:szCs w:val="28"/>
        </w:rPr>
        <w:t>级</w:t>
      </w:r>
      <w:r>
        <w:rPr>
          <w:rFonts w:ascii="宋体" w:hAnsi="宋体" w:cs="宋体" w:hint="eastAsia"/>
          <w:szCs w:val="28"/>
        </w:rPr>
        <w:t>46</w:t>
      </w:r>
      <w:r>
        <w:rPr>
          <w:rFonts w:ascii="宋体" w:hAnsi="宋体" w:cs="宋体" w:hint="eastAsia"/>
          <w:szCs w:val="28"/>
        </w:rPr>
        <w:t>人，</w:t>
      </w:r>
      <w:r>
        <w:rPr>
          <w:rFonts w:ascii="宋体" w:hAnsi="宋体" w:cs="宋体" w:hint="eastAsia"/>
          <w:szCs w:val="28"/>
        </w:rPr>
        <w:t>2022</w:t>
      </w:r>
      <w:r>
        <w:rPr>
          <w:rFonts w:ascii="宋体" w:hAnsi="宋体" w:cs="宋体" w:hint="eastAsia"/>
          <w:szCs w:val="28"/>
        </w:rPr>
        <w:t>级</w:t>
      </w:r>
      <w:r>
        <w:rPr>
          <w:rFonts w:ascii="宋体" w:hAnsi="宋体" w:cs="宋体" w:hint="eastAsia"/>
          <w:szCs w:val="28"/>
        </w:rPr>
        <w:t>42</w:t>
      </w:r>
      <w:r>
        <w:rPr>
          <w:rFonts w:ascii="宋体" w:hAnsi="宋体" w:cs="宋体" w:hint="eastAsia"/>
          <w:szCs w:val="28"/>
        </w:rPr>
        <w:t>人，</w:t>
      </w:r>
      <w:r>
        <w:rPr>
          <w:rFonts w:ascii="宋体" w:hAnsi="宋体" w:cs="宋体" w:hint="eastAsia"/>
          <w:szCs w:val="28"/>
        </w:rPr>
        <w:t>2023</w:t>
      </w:r>
      <w:r>
        <w:rPr>
          <w:rFonts w:ascii="宋体" w:hAnsi="宋体" w:cs="宋体" w:hint="eastAsia"/>
          <w:szCs w:val="28"/>
        </w:rPr>
        <w:t>级</w:t>
      </w:r>
      <w:r>
        <w:rPr>
          <w:rFonts w:ascii="宋体" w:hAnsi="宋体" w:cs="宋体" w:hint="eastAsia"/>
          <w:szCs w:val="28"/>
        </w:rPr>
        <w:t>30</w:t>
      </w:r>
      <w:r>
        <w:rPr>
          <w:rFonts w:ascii="宋体" w:hAnsi="宋体" w:cs="宋体" w:hint="eastAsia"/>
          <w:szCs w:val="28"/>
        </w:rPr>
        <w:t>人）。</w:t>
      </w:r>
    </w:p>
    <w:p w14:paraId="26325A97" w14:textId="77777777" w:rsidR="00CC059E" w:rsidRDefault="005B731A">
      <w:pPr>
        <w:pStyle w:val="3"/>
        <w:ind w:firstLine="643"/>
      </w:pPr>
      <w:r>
        <w:rPr>
          <w:rFonts w:hint="eastAsia"/>
        </w:rPr>
        <w:t>3</w:t>
      </w:r>
      <w:r>
        <w:t>.2</w:t>
      </w:r>
      <w:r>
        <w:t>思政教育</w:t>
      </w:r>
    </w:p>
    <w:p w14:paraId="74CA1756" w14:textId="77777777" w:rsidR="00CC059E" w:rsidRDefault="005B731A">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配备专职研究生辅导员，专门负责研究生日常管理及思想政治教育。同时，通过召开学生工作专题研讨会，开设思想政治教育课题研究等，提升研究生辅导员的综合素质及专业化、职业化水平。根据《建筑学院学生辅导员岗位职责》、《班主任岗位细则》，以评优工作为契机，提高辅导员队伍的整体素质。组织召开班主任工作交流会、工作培训会，做到学初有计划、期末有总结，每年末评选优秀班主任并进行表彰。</w:t>
      </w:r>
    </w:p>
    <w:p w14:paraId="07EE3F33" w14:textId="77777777" w:rsidR="00CC059E" w:rsidRDefault="005B731A">
      <w:pPr>
        <w:pStyle w:val="Default"/>
        <w:ind w:firstLineChars="200" w:firstLine="560"/>
        <w:rPr>
          <w:rFonts w:ascii="宋体" w:hAnsi="宋体"/>
        </w:rPr>
      </w:pPr>
      <w:r>
        <w:rPr>
          <w:rFonts w:ascii="宋体" w:eastAsia="宋体" w:hAnsi="宋体" w:cs="宋体" w:hint="eastAsia"/>
          <w:color w:val="auto"/>
          <w:sz w:val="28"/>
          <w:szCs w:val="28"/>
        </w:rPr>
        <w:t>继续打造学院网络平台和公众号的思政教育</w:t>
      </w:r>
      <w:r>
        <w:rPr>
          <w:rFonts w:ascii="宋体" w:eastAsia="宋体" w:hAnsi="宋体" w:cs="宋体" w:hint="eastAsia"/>
          <w:color w:val="auto"/>
          <w:sz w:val="28"/>
          <w:szCs w:val="28"/>
        </w:rPr>
        <w:t>专栏，形成线上网络育人阵地。强化朋辈引领和榜样教育的示范作用，做好线下思想引领工作。进一步完善网络意识形态和学生思想动态分析，加强意识形态阵地管理，牢牢掌握意识形态工作主导权。</w:t>
      </w:r>
    </w:p>
    <w:p w14:paraId="59FB2BDE" w14:textId="77777777" w:rsidR="00CC059E" w:rsidRDefault="005B731A">
      <w:pPr>
        <w:pStyle w:val="3"/>
        <w:ind w:firstLine="643"/>
      </w:pPr>
      <w:r>
        <w:rPr>
          <w:rFonts w:hint="eastAsia"/>
        </w:rPr>
        <w:t>3</w:t>
      </w:r>
      <w:r>
        <w:t>.3</w:t>
      </w:r>
      <w:r>
        <w:t>课程教学</w:t>
      </w:r>
    </w:p>
    <w:p w14:paraId="13CEC129" w14:textId="77777777" w:rsidR="00CC059E" w:rsidRDefault="005B731A">
      <w:pPr>
        <w:ind w:firstLineChars="200" w:firstLine="560"/>
        <w:rPr>
          <w:rFonts w:ascii="宋体" w:hAnsi="宋体"/>
        </w:rPr>
      </w:pPr>
      <w:r>
        <w:rPr>
          <w:rFonts w:ascii="宋体" w:hAnsi="宋体" w:cs="宋体" w:hint="eastAsia"/>
          <w:szCs w:val="28"/>
        </w:rPr>
        <w:t>本学位点现开设学位课</w:t>
      </w:r>
      <w:r>
        <w:rPr>
          <w:rFonts w:ascii="宋体" w:hAnsi="宋体" w:cs="宋体" w:hint="eastAsia"/>
          <w:color w:val="000000" w:themeColor="text1"/>
          <w:szCs w:val="28"/>
        </w:rPr>
        <w:t>14</w:t>
      </w:r>
      <w:r>
        <w:rPr>
          <w:rFonts w:ascii="宋体" w:hAnsi="宋体" w:cs="宋体" w:hint="eastAsia"/>
          <w:szCs w:val="28"/>
        </w:rPr>
        <w:t>门，包含建筑设计（</w:t>
      </w:r>
      <w:r>
        <w:rPr>
          <w:rFonts w:ascii="宋体" w:hAnsi="宋体" w:cs="宋体" w:hint="eastAsia"/>
          <w:szCs w:val="28"/>
        </w:rPr>
        <w:t>1</w:t>
      </w:r>
      <w:r>
        <w:rPr>
          <w:rFonts w:ascii="宋体" w:hAnsi="宋体" w:cs="宋体" w:hint="eastAsia"/>
          <w:szCs w:val="28"/>
        </w:rPr>
        <w:t>）、建筑设计（</w:t>
      </w:r>
      <w:r>
        <w:rPr>
          <w:rFonts w:ascii="宋体" w:hAnsi="宋体" w:cs="宋体" w:hint="eastAsia"/>
          <w:szCs w:val="28"/>
        </w:rPr>
        <w:t>2</w:t>
      </w:r>
      <w:r>
        <w:rPr>
          <w:rFonts w:ascii="宋体" w:hAnsi="宋体" w:cs="宋体" w:hint="eastAsia"/>
          <w:szCs w:val="28"/>
        </w:rPr>
        <w:t>）、</w:t>
      </w:r>
      <w:r>
        <w:rPr>
          <w:rFonts w:ascii="宋体" w:hAnsi="宋体" w:cs="宋体" w:hint="eastAsia"/>
          <w:szCs w:val="28"/>
        </w:rPr>
        <w:lastRenderedPageBreak/>
        <w:t>城市空间设计、环境行为学、建筑计划学、城市空间数字技术应用、建筑学研究方法等；同时紧密结合学科前沿，发挥学科群优势，围绕学科方向，在非学位课中设置建筑设计及其理论、建筑历史与理论、建筑技术科学三个选修课程模块，学生可根据研究方向及研究兴趣，选择至少</w:t>
      </w:r>
      <w:r>
        <w:rPr>
          <w:rFonts w:ascii="宋体" w:hAnsi="宋体" w:cs="宋体" w:hint="eastAsia"/>
          <w:szCs w:val="28"/>
        </w:rPr>
        <w:t>4</w:t>
      </w:r>
      <w:r>
        <w:rPr>
          <w:rFonts w:ascii="宋体" w:hAnsi="宋体" w:cs="宋体" w:hint="eastAsia"/>
          <w:szCs w:val="28"/>
        </w:rPr>
        <w:t>门（</w:t>
      </w:r>
      <w:r>
        <w:rPr>
          <w:rFonts w:ascii="宋体" w:hAnsi="宋体" w:cs="宋体" w:hint="eastAsia"/>
          <w:szCs w:val="28"/>
        </w:rPr>
        <w:t>不小于</w:t>
      </w:r>
      <w:r>
        <w:rPr>
          <w:rFonts w:ascii="宋体" w:hAnsi="宋体" w:cs="宋体"/>
          <w:szCs w:val="28"/>
        </w:rPr>
        <w:t>6</w:t>
      </w:r>
      <w:r>
        <w:rPr>
          <w:rFonts w:ascii="宋体" w:hAnsi="宋体" w:cs="宋体" w:hint="eastAsia"/>
          <w:szCs w:val="28"/>
        </w:rPr>
        <w:t>学分）从而构建“必修</w:t>
      </w:r>
      <w:r>
        <w:rPr>
          <w:rFonts w:ascii="宋体" w:hAnsi="宋体" w:cs="宋体" w:hint="eastAsia"/>
          <w:szCs w:val="28"/>
        </w:rPr>
        <w:t>+</w:t>
      </w:r>
      <w:r>
        <w:rPr>
          <w:rFonts w:ascii="宋体" w:hAnsi="宋体" w:cs="宋体" w:hint="eastAsia"/>
          <w:szCs w:val="28"/>
        </w:rPr>
        <w:t>方向必选模块”课程体系，优化其相互支撑关系。广泛开展课程思政公开课、在线课堂、课程思政示范课建设项目，不断改进研究生课程教学</w:t>
      </w:r>
      <w:r>
        <w:rPr>
          <w:rFonts w:ascii="宋体" w:hAnsi="宋体" w:hint="eastAsia"/>
        </w:rPr>
        <w:t>。</w:t>
      </w:r>
    </w:p>
    <w:p w14:paraId="7DD50FBE" w14:textId="77777777" w:rsidR="00CC059E" w:rsidRDefault="005B731A">
      <w:pPr>
        <w:pStyle w:val="3"/>
        <w:ind w:firstLine="643"/>
      </w:pPr>
      <w:r>
        <w:rPr>
          <w:rFonts w:hint="eastAsia"/>
        </w:rPr>
        <w:t>3</w:t>
      </w:r>
      <w:r>
        <w:t>.4</w:t>
      </w:r>
      <w:r>
        <w:t>导师指导</w:t>
      </w:r>
    </w:p>
    <w:p w14:paraId="71C9E1A8" w14:textId="77777777" w:rsidR="00CC059E" w:rsidRDefault="005B731A">
      <w:pPr>
        <w:pStyle w:val="Default"/>
        <w:ind w:firstLineChars="200" w:firstLine="560"/>
        <w:rPr>
          <w:rStyle w:val="a8"/>
          <w:rFonts w:ascii="等线" w:eastAsia="宋体" w:hAnsi="等线"/>
          <w:color w:val="auto"/>
          <w:kern w:val="2"/>
        </w:rPr>
      </w:pPr>
      <w:r>
        <w:rPr>
          <w:rFonts w:ascii="宋体" w:eastAsia="宋体" w:hAnsi="宋体" w:cs="宋体" w:hint="eastAsia"/>
          <w:color w:val="auto"/>
          <w:sz w:val="28"/>
          <w:szCs w:val="28"/>
        </w:rPr>
        <w:t>本学位点在导师选拔中严格遵守天津城建大学的相关规定，注重选拔培养德才兼备、专业能力强、实践经验丰富的教师作为学位点导师。为提高新增导师的教学能力，学院安排新增导师与经验丰富的导师联合指导硕士生，至完成一个完整的培养过程后新增导师才具有独立招生资格。依照“天津城建大学硕士研究生指导教师管理办法”和“建筑学院校级研究生指导教师团队管理实施细则”，</w:t>
      </w:r>
      <w:r>
        <w:rPr>
          <w:rFonts w:ascii="宋体" w:eastAsia="宋体" w:hAnsi="宋体" w:cs="宋体" w:hint="eastAsia"/>
          <w:color w:val="auto"/>
          <w:sz w:val="28"/>
          <w:szCs w:val="28"/>
        </w:rPr>
        <w:t>2</w:t>
      </w:r>
      <w:r>
        <w:rPr>
          <w:rFonts w:ascii="宋体" w:eastAsia="宋体" w:hAnsi="宋体" w:cs="宋体"/>
          <w:color w:val="auto"/>
          <w:sz w:val="28"/>
          <w:szCs w:val="28"/>
        </w:rPr>
        <w:t>02</w:t>
      </w:r>
      <w:r>
        <w:rPr>
          <w:rFonts w:ascii="宋体" w:eastAsia="宋体" w:hAnsi="宋体" w:cs="宋体" w:hint="eastAsia"/>
          <w:color w:val="auto"/>
          <w:sz w:val="28"/>
          <w:szCs w:val="28"/>
        </w:rPr>
        <w:t>3</w:t>
      </w:r>
      <w:r>
        <w:rPr>
          <w:rFonts w:ascii="宋体" w:eastAsia="宋体" w:hAnsi="宋体" w:cs="宋体" w:hint="eastAsia"/>
          <w:color w:val="auto"/>
          <w:sz w:val="28"/>
          <w:szCs w:val="28"/>
        </w:rPr>
        <w:t>年本学位点导师增至</w:t>
      </w:r>
      <w:r>
        <w:rPr>
          <w:rFonts w:ascii="宋体" w:eastAsia="宋体" w:hAnsi="宋体" w:cs="宋体" w:hint="eastAsia"/>
          <w:color w:val="auto"/>
          <w:sz w:val="28"/>
          <w:szCs w:val="28"/>
        </w:rPr>
        <w:t>27</w:t>
      </w:r>
      <w:r>
        <w:rPr>
          <w:rFonts w:ascii="宋体" w:eastAsia="宋体" w:hAnsi="宋体" w:cs="宋体" w:hint="eastAsia"/>
          <w:color w:val="auto"/>
          <w:sz w:val="28"/>
          <w:szCs w:val="28"/>
        </w:rPr>
        <w:t>名，导师团队</w:t>
      </w:r>
      <w:r>
        <w:rPr>
          <w:rFonts w:ascii="宋体" w:eastAsia="宋体" w:hAnsi="宋体" w:cs="宋体" w:hint="eastAsia"/>
          <w:color w:val="auto"/>
          <w:sz w:val="28"/>
          <w:szCs w:val="28"/>
        </w:rPr>
        <w:t>13</w:t>
      </w:r>
      <w:r>
        <w:rPr>
          <w:rFonts w:ascii="宋体" w:eastAsia="宋体" w:hAnsi="宋体" w:cs="宋体" w:hint="eastAsia"/>
          <w:color w:val="auto"/>
          <w:sz w:val="28"/>
          <w:szCs w:val="28"/>
        </w:rPr>
        <w:t>个，导师队伍结构得到了显著优化，增强了研究生的培养力量。</w:t>
      </w:r>
    </w:p>
    <w:p w14:paraId="7D89D31C" w14:textId="77777777" w:rsidR="00230608" w:rsidRDefault="00230608" w:rsidP="00230608">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为进一步提升导师水平和培养质量，2023年校研究生院对导师进行了导师队伍建设培训，培训主题涵盖：“</w:t>
      </w:r>
      <w:r w:rsidRPr="00E40C30">
        <w:rPr>
          <w:rFonts w:ascii="宋体" w:eastAsia="宋体" w:hAnsi="宋体" w:cs="宋体" w:hint="eastAsia"/>
          <w:color w:val="auto"/>
          <w:sz w:val="28"/>
          <w:szCs w:val="28"/>
        </w:rPr>
        <w:t>津门师德巡讲”系列活动</w:t>
      </w:r>
      <w:r>
        <w:rPr>
          <w:rFonts w:ascii="宋体" w:eastAsia="宋体" w:hAnsi="宋体" w:cs="宋体" w:hint="eastAsia"/>
          <w:color w:val="auto"/>
          <w:sz w:val="28"/>
          <w:szCs w:val="28"/>
        </w:rPr>
        <w:t>、</w:t>
      </w:r>
      <w:r w:rsidRPr="00E40C30">
        <w:rPr>
          <w:rFonts w:ascii="宋体" w:eastAsia="宋体" w:hAnsi="宋体" w:cs="宋体" w:hint="eastAsia"/>
          <w:color w:val="auto"/>
          <w:sz w:val="28"/>
          <w:szCs w:val="28"/>
        </w:rPr>
        <w:t>锤炼师德师风提升素质能力</w:t>
      </w:r>
      <w:r>
        <w:rPr>
          <w:rFonts w:ascii="宋体" w:eastAsia="宋体" w:hAnsi="宋体" w:cs="宋体" w:hint="eastAsia"/>
          <w:color w:val="auto"/>
          <w:sz w:val="28"/>
          <w:szCs w:val="28"/>
        </w:rPr>
        <w:t>、</w:t>
      </w:r>
      <w:r w:rsidRPr="00E40C30">
        <w:rPr>
          <w:rFonts w:ascii="宋体" w:eastAsia="宋体" w:hAnsi="宋体" w:cs="宋体" w:hint="eastAsia"/>
          <w:color w:val="auto"/>
          <w:sz w:val="28"/>
          <w:szCs w:val="28"/>
        </w:rPr>
        <w:t>研究生导师队伍建设专题系列培训</w:t>
      </w:r>
      <w:r>
        <w:rPr>
          <w:rFonts w:ascii="宋体" w:eastAsia="宋体" w:hAnsi="宋体" w:cs="宋体" w:hint="eastAsia"/>
          <w:color w:val="auto"/>
          <w:sz w:val="28"/>
          <w:szCs w:val="28"/>
        </w:rPr>
        <w:t>等。此外，学院组织</w:t>
      </w:r>
      <w:r>
        <w:rPr>
          <w:rFonts w:ascii="宋体" w:eastAsia="宋体" w:hAnsi="宋体" w:cs="宋体"/>
          <w:color w:val="auto"/>
          <w:sz w:val="28"/>
          <w:szCs w:val="28"/>
        </w:rPr>
        <w:t>导师</w:t>
      </w:r>
      <w:r>
        <w:rPr>
          <w:rFonts w:ascii="宋体" w:eastAsia="宋体" w:hAnsi="宋体" w:cs="宋体" w:hint="eastAsia"/>
          <w:color w:val="auto"/>
          <w:sz w:val="28"/>
          <w:szCs w:val="28"/>
        </w:rPr>
        <w:t>进行</w:t>
      </w:r>
      <w:r w:rsidRPr="00E40C30">
        <w:rPr>
          <w:rFonts w:ascii="宋体" w:eastAsia="宋体" w:hAnsi="宋体" w:cs="宋体" w:hint="eastAsia"/>
          <w:color w:val="auto"/>
          <w:sz w:val="28"/>
          <w:szCs w:val="28"/>
        </w:rPr>
        <w:t>关注心理健康，做研究生成长的心灵导师</w:t>
      </w:r>
      <w:r>
        <w:rPr>
          <w:rFonts w:ascii="宋体" w:eastAsia="宋体" w:hAnsi="宋体" w:cs="宋体" w:hint="eastAsia"/>
          <w:color w:val="auto"/>
          <w:sz w:val="28"/>
          <w:szCs w:val="28"/>
        </w:rPr>
        <w:t>等方面的培训，也</w:t>
      </w:r>
      <w:r>
        <w:rPr>
          <w:rFonts w:ascii="宋体" w:eastAsia="宋体" w:hAnsi="宋体" w:cs="宋体"/>
          <w:color w:val="auto"/>
          <w:sz w:val="28"/>
          <w:szCs w:val="28"/>
        </w:rPr>
        <w:t>针对</w:t>
      </w:r>
      <w:r>
        <w:rPr>
          <w:rFonts w:ascii="宋体" w:eastAsia="宋体" w:hAnsi="宋体" w:cs="宋体" w:hint="eastAsia"/>
          <w:color w:val="auto"/>
          <w:sz w:val="28"/>
          <w:szCs w:val="28"/>
        </w:rPr>
        <w:t>学</w:t>
      </w:r>
      <w:r>
        <w:rPr>
          <w:rFonts w:ascii="宋体" w:eastAsia="宋体" w:hAnsi="宋体" w:cs="宋体"/>
          <w:color w:val="auto"/>
          <w:sz w:val="28"/>
          <w:szCs w:val="28"/>
        </w:rPr>
        <w:t>院</w:t>
      </w:r>
      <w:r>
        <w:rPr>
          <w:rFonts w:ascii="宋体" w:eastAsia="宋体" w:hAnsi="宋体" w:cs="宋体" w:hint="eastAsia"/>
          <w:color w:val="auto"/>
          <w:sz w:val="28"/>
          <w:szCs w:val="28"/>
        </w:rPr>
        <w:t>导师队伍建设</w:t>
      </w:r>
      <w:r>
        <w:rPr>
          <w:rFonts w:ascii="宋体" w:eastAsia="宋体" w:hAnsi="宋体" w:cs="宋体"/>
          <w:color w:val="auto"/>
          <w:sz w:val="28"/>
          <w:szCs w:val="28"/>
        </w:rPr>
        <w:t>现存的问题与导</w:t>
      </w:r>
      <w:r>
        <w:rPr>
          <w:rFonts w:ascii="宋体" w:eastAsia="宋体" w:hAnsi="宋体" w:cs="宋体"/>
          <w:color w:val="auto"/>
          <w:sz w:val="28"/>
          <w:szCs w:val="28"/>
        </w:rPr>
        <w:lastRenderedPageBreak/>
        <w:t>师们进行了充分</w:t>
      </w:r>
      <w:r>
        <w:rPr>
          <w:rFonts w:ascii="宋体" w:eastAsia="宋体" w:hAnsi="宋体" w:cs="宋体" w:hint="eastAsia"/>
          <w:color w:val="auto"/>
          <w:sz w:val="28"/>
          <w:szCs w:val="28"/>
        </w:rPr>
        <w:t>讨论</w:t>
      </w:r>
      <w:r>
        <w:rPr>
          <w:rFonts w:ascii="宋体" w:eastAsia="宋体" w:hAnsi="宋体" w:cs="宋体"/>
          <w:color w:val="auto"/>
          <w:sz w:val="28"/>
          <w:szCs w:val="28"/>
        </w:rPr>
        <w:t>。关注点主要出在分类培养、国际合作培养以及研究生思政教育上，</w:t>
      </w:r>
      <w:r>
        <w:rPr>
          <w:rFonts w:ascii="宋体" w:eastAsia="宋体" w:hAnsi="宋体" w:cs="宋体" w:hint="eastAsia"/>
          <w:color w:val="auto"/>
          <w:sz w:val="28"/>
          <w:szCs w:val="28"/>
        </w:rPr>
        <w:t>研讨</w:t>
      </w:r>
      <w:r>
        <w:rPr>
          <w:rFonts w:ascii="宋体" w:eastAsia="宋体" w:hAnsi="宋体" w:cs="宋体"/>
          <w:color w:val="auto"/>
          <w:sz w:val="28"/>
          <w:szCs w:val="28"/>
        </w:rPr>
        <w:t>为进一步提升研究生培养质量工作厘清了新思路、提供了新举措。</w:t>
      </w:r>
    </w:p>
    <w:p w14:paraId="654945A5" w14:textId="77777777" w:rsidR="00CC059E" w:rsidRDefault="005B731A">
      <w:pPr>
        <w:pStyle w:val="3"/>
        <w:ind w:firstLine="643"/>
      </w:pPr>
      <w:r>
        <w:rPr>
          <w:rFonts w:hint="eastAsia"/>
        </w:rPr>
        <w:t>3</w:t>
      </w:r>
      <w:r>
        <w:t>.5</w:t>
      </w:r>
      <w:r>
        <w:t>实践教学</w:t>
      </w:r>
    </w:p>
    <w:p w14:paraId="4701AFCB" w14:textId="77777777" w:rsidR="00CC059E" w:rsidRDefault="005B731A">
      <w:pPr>
        <w:ind w:firstLineChars="200" w:firstLine="560"/>
        <w:rPr>
          <w:rFonts w:ascii="宋体" w:hAnsi="宋体" w:cs="宋体"/>
          <w:kern w:val="0"/>
          <w:szCs w:val="28"/>
        </w:rPr>
      </w:pPr>
      <w:r>
        <w:rPr>
          <w:rFonts w:ascii="宋体" w:hAnsi="宋体" w:cs="宋体" w:hint="eastAsia"/>
          <w:kern w:val="0"/>
          <w:szCs w:val="28"/>
        </w:rPr>
        <w:t>专业学位研究生要求完成专业实践环节</w:t>
      </w:r>
      <w:r>
        <w:rPr>
          <w:rFonts w:ascii="宋体" w:hAnsi="宋体" w:cs="宋体" w:hint="eastAsia"/>
          <w:kern w:val="0"/>
          <w:szCs w:val="28"/>
        </w:rPr>
        <w:t>6</w:t>
      </w:r>
      <w:r>
        <w:rPr>
          <w:rFonts w:ascii="宋体" w:hAnsi="宋体" w:cs="宋体" w:hint="eastAsia"/>
          <w:kern w:val="0"/>
          <w:szCs w:val="28"/>
        </w:rPr>
        <w:t>学分，安排在第三、第四学期，时间累积不少于</w:t>
      </w:r>
      <w:r>
        <w:rPr>
          <w:rFonts w:ascii="宋体" w:hAnsi="宋体" w:cs="宋体" w:hint="eastAsia"/>
          <w:kern w:val="0"/>
          <w:szCs w:val="28"/>
        </w:rPr>
        <w:t>12</w:t>
      </w:r>
      <w:r>
        <w:rPr>
          <w:rFonts w:ascii="宋体" w:hAnsi="宋体" w:cs="宋体" w:hint="eastAsia"/>
          <w:kern w:val="0"/>
          <w:szCs w:val="28"/>
        </w:rPr>
        <w:t>个月，原则上在实践基地进行（时间不少于</w:t>
      </w:r>
      <w:r>
        <w:rPr>
          <w:rFonts w:ascii="宋体" w:hAnsi="宋体" w:cs="宋体" w:hint="eastAsia"/>
          <w:kern w:val="0"/>
          <w:szCs w:val="28"/>
        </w:rPr>
        <w:t>6</w:t>
      </w:r>
      <w:r>
        <w:rPr>
          <w:rFonts w:ascii="宋体" w:hAnsi="宋体" w:cs="宋体" w:hint="eastAsia"/>
          <w:kern w:val="0"/>
          <w:szCs w:val="28"/>
        </w:rPr>
        <w:t>个月）。</w:t>
      </w:r>
    </w:p>
    <w:p w14:paraId="26C1EB52" w14:textId="77777777" w:rsidR="00CC059E" w:rsidRDefault="005B731A">
      <w:pPr>
        <w:pStyle w:val="Default"/>
        <w:ind w:firstLineChars="250" w:firstLine="700"/>
        <w:jc w:val="both"/>
        <w:rPr>
          <w:rFonts w:ascii="宋体" w:eastAsia="宋体" w:hAnsi="宋体" w:cs="宋体"/>
          <w:color w:val="auto"/>
          <w:sz w:val="28"/>
          <w:szCs w:val="28"/>
        </w:rPr>
      </w:pPr>
      <w:r>
        <w:rPr>
          <w:rFonts w:ascii="宋体" w:eastAsia="宋体" w:hAnsi="宋体" w:cs="宋体" w:hint="eastAsia"/>
          <w:color w:val="auto"/>
          <w:sz w:val="28"/>
          <w:szCs w:val="28"/>
        </w:rPr>
        <w:t>本学位点通过建立校企联合培养实践基地、确定双导师培养模式等专业实践措施，有效落实应用型人才培养。先后与天津市建筑设计院有限公司、华汇建筑设计有限公司等</w:t>
      </w:r>
      <w:r>
        <w:rPr>
          <w:rFonts w:ascii="宋体" w:eastAsia="宋体" w:hAnsi="宋体" w:cs="宋体" w:hint="eastAsia"/>
          <w:color w:val="auto"/>
          <w:sz w:val="28"/>
          <w:szCs w:val="28"/>
        </w:rPr>
        <w:t>8</w:t>
      </w:r>
      <w:r>
        <w:rPr>
          <w:rFonts w:ascii="宋体" w:eastAsia="宋体" w:hAnsi="宋体" w:cs="宋体" w:hint="eastAsia"/>
          <w:color w:val="auto"/>
          <w:sz w:val="28"/>
          <w:szCs w:val="28"/>
        </w:rPr>
        <w:t>家业内有影响力的专业设计公司，签署了校企实践基地合作协议，制定了实践基地工作计划实施细则，明确了实践基地的教学内容、组织和保障措施等。</w:t>
      </w:r>
    </w:p>
    <w:p w14:paraId="786D63D4" w14:textId="77777777" w:rsidR="00CC059E" w:rsidRDefault="005B731A">
      <w:pPr>
        <w:pStyle w:val="Default"/>
        <w:ind w:firstLineChars="250" w:firstLine="700"/>
        <w:jc w:val="both"/>
        <w:rPr>
          <w:rFonts w:ascii="宋体" w:eastAsia="宋体" w:hAnsi="宋体" w:cs="宋体"/>
          <w:color w:val="auto"/>
          <w:sz w:val="28"/>
          <w:szCs w:val="28"/>
        </w:rPr>
      </w:pPr>
      <w:r>
        <w:rPr>
          <w:rFonts w:ascii="宋体" w:eastAsia="宋体" w:hAnsi="宋体" w:cs="宋体" w:hint="eastAsia"/>
          <w:color w:val="auto"/>
          <w:sz w:val="28"/>
          <w:szCs w:val="28"/>
        </w:rPr>
        <w:t>专业实践在基地内结合实际工程项目在导师指导下由学生独立完成，学生应受到从项目策划、初步设计、</w:t>
      </w:r>
      <w:r>
        <w:rPr>
          <w:rFonts w:ascii="宋体" w:eastAsia="宋体" w:hAnsi="宋体" w:cs="宋体" w:hint="eastAsia"/>
          <w:color w:val="auto"/>
          <w:sz w:val="28"/>
          <w:szCs w:val="28"/>
        </w:rPr>
        <w:t>施工图设计等环节的实训。专业实践的日常管理由实践基地负责，学生定期向导师汇报实践的基本情况及项目进展，实践结束后提交实践项目图纸成果，并撰写专业实践报告书，由校内导师与实践导师共同考核。</w:t>
      </w:r>
    </w:p>
    <w:p w14:paraId="179BC151" w14:textId="77777777" w:rsidR="00CC059E" w:rsidRDefault="005B731A">
      <w:pPr>
        <w:pStyle w:val="Default"/>
        <w:ind w:firstLineChars="250" w:firstLine="700"/>
        <w:jc w:val="both"/>
        <w:rPr>
          <w:rFonts w:ascii="宋体" w:eastAsia="宋体" w:hAnsi="宋体" w:cs="宋体"/>
          <w:color w:val="auto"/>
          <w:sz w:val="28"/>
          <w:szCs w:val="28"/>
        </w:rPr>
      </w:pPr>
      <w:r>
        <w:rPr>
          <w:rFonts w:ascii="宋体" w:eastAsia="宋体" w:hAnsi="宋体" w:cs="宋体" w:hint="eastAsia"/>
          <w:color w:val="auto"/>
          <w:sz w:val="28"/>
          <w:szCs w:val="28"/>
        </w:rPr>
        <w:t>本学位点指导教师团队由实践经验丰富的中青年骨干教师担任，实践基地以教学为核心，以实际项目为抓手，围绕绿色建筑、城市更新、乡村振兴、遗产保护设置设计题目，以市场对设计人才的要求为标准培养研究生，采用真题假做或真题真做的形式，定期邀请企业专</w:t>
      </w:r>
      <w:r>
        <w:rPr>
          <w:rFonts w:ascii="宋体" w:eastAsia="宋体" w:hAnsi="宋体" w:cs="宋体" w:hint="eastAsia"/>
          <w:color w:val="auto"/>
          <w:sz w:val="28"/>
          <w:szCs w:val="28"/>
        </w:rPr>
        <w:lastRenderedPageBreak/>
        <w:t>家指导，全面提高其建筑设计的综合能力。</w:t>
      </w:r>
    </w:p>
    <w:p w14:paraId="4D53F94C" w14:textId="77777777" w:rsidR="00CC059E" w:rsidRDefault="005B731A">
      <w:pPr>
        <w:pStyle w:val="Default"/>
        <w:ind w:firstLineChars="250" w:firstLine="700"/>
        <w:rPr>
          <w:rFonts w:ascii="宋体" w:eastAsia="宋体" w:hAnsi="宋体" w:cs="宋体"/>
          <w:color w:val="auto"/>
          <w:sz w:val="28"/>
          <w:szCs w:val="28"/>
        </w:rPr>
      </w:pPr>
      <w:r>
        <w:rPr>
          <w:rFonts w:ascii="宋体" w:eastAsia="宋体" w:hAnsi="宋体" w:cs="宋体" w:hint="eastAsia"/>
          <w:color w:val="auto"/>
          <w:sz w:val="28"/>
          <w:szCs w:val="28"/>
        </w:rPr>
        <w:t>本学位点学生积极参与各项设计竞赛，</w:t>
      </w:r>
      <w:r>
        <w:rPr>
          <w:rFonts w:ascii="宋体" w:eastAsia="宋体" w:hAnsi="宋体" w:cs="宋体" w:hint="eastAsia"/>
          <w:color w:val="auto"/>
          <w:sz w:val="28"/>
          <w:szCs w:val="28"/>
        </w:rPr>
        <w:t>2</w:t>
      </w:r>
      <w:r>
        <w:rPr>
          <w:rFonts w:ascii="宋体" w:eastAsia="宋体" w:hAnsi="宋体" w:cs="宋体"/>
          <w:color w:val="auto"/>
          <w:sz w:val="28"/>
          <w:szCs w:val="28"/>
        </w:rPr>
        <w:t>02</w:t>
      </w:r>
      <w:r>
        <w:rPr>
          <w:rFonts w:ascii="宋体" w:eastAsia="宋体" w:hAnsi="宋体" w:cs="宋体" w:hint="eastAsia"/>
          <w:color w:val="auto"/>
          <w:sz w:val="28"/>
          <w:szCs w:val="28"/>
        </w:rPr>
        <w:t>3</w:t>
      </w:r>
      <w:r>
        <w:rPr>
          <w:rFonts w:ascii="宋体" w:eastAsia="宋体" w:hAnsi="宋体" w:cs="宋体" w:hint="eastAsia"/>
          <w:color w:val="auto"/>
          <w:sz w:val="28"/>
          <w:szCs w:val="28"/>
        </w:rPr>
        <w:t>年在中</w:t>
      </w:r>
      <w:r>
        <w:rPr>
          <w:rFonts w:ascii="宋体" w:eastAsia="宋体" w:hAnsi="宋体" w:cs="宋体" w:hint="eastAsia"/>
          <w:color w:val="auto"/>
          <w:sz w:val="28"/>
          <w:szCs w:val="28"/>
        </w:rPr>
        <w:t>国人居环境设计学年奖、全国高等院校第五届绿色建筑技能大赛等设计竞赛获奖</w:t>
      </w:r>
      <w:r>
        <w:rPr>
          <w:rFonts w:ascii="宋体" w:eastAsia="宋体" w:hAnsi="宋体" w:cs="宋体" w:hint="eastAsia"/>
          <w:color w:val="auto"/>
          <w:sz w:val="28"/>
          <w:szCs w:val="28"/>
        </w:rPr>
        <w:t>19</w:t>
      </w:r>
      <w:r>
        <w:rPr>
          <w:rFonts w:ascii="宋体" w:eastAsia="宋体" w:hAnsi="宋体" w:cs="宋体" w:hint="eastAsia"/>
          <w:color w:val="auto"/>
          <w:sz w:val="28"/>
          <w:szCs w:val="28"/>
        </w:rPr>
        <w:t>项。</w:t>
      </w:r>
    </w:p>
    <w:p w14:paraId="298FAD48" w14:textId="77777777" w:rsidR="00CC059E" w:rsidRDefault="005B731A">
      <w:pPr>
        <w:pStyle w:val="3"/>
        <w:ind w:firstLine="643"/>
      </w:pPr>
      <w:r>
        <w:rPr>
          <w:rFonts w:hint="eastAsia"/>
        </w:rPr>
        <w:t>3</w:t>
      </w:r>
      <w:r>
        <w:t>.6</w:t>
      </w:r>
      <w:r>
        <w:t>学术交流</w:t>
      </w:r>
    </w:p>
    <w:p w14:paraId="07F76060" w14:textId="77777777" w:rsidR="00CC059E" w:rsidRPr="00197863" w:rsidRDefault="005B731A">
      <w:pPr>
        <w:pStyle w:val="Default"/>
        <w:ind w:firstLineChars="200" w:firstLine="560"/>
        <w:rPr>
          <w:rFonts w:ascii="宋体" w:eastAsia="宋体" w:hAnsi="宋体" w:cs="宋体"/>
          <w:color w:val="auto"/>
          <w:sz w:val="28"/>
          <w:szCs w:val="28"/>
        </w:rPr>
      </w:pPr>
      <w:r>
        <w:rPr>
          <w:rFonts w:ascii="Calibri" w:eastAsia="宋体" w:hint="eastAsia"/>
          <w:color w:val="auto"/>
          <w:kern w:val="2"/>
          <w:sz w:val="28"/>
          <w:szCs w:val="28"/>
        </w:rPr>
        <w:t>每年邀请国内外专家学者、本领域及行业内的专家来我院进行学术交流，开展学术讲座，不仅极大地开拓了研究生的国际视野，也增强了研究生对本领域学术前沿和相关行业发展现状的认识。同时，</w:t>
      </w:r>
      <w:r>
        <w:rPr>
          <w:rFonts w:eastAsia="宋体"/>
          <w:color w:val="auto"/>
          <w:sz w:val="28"/>
          <w:szCs w:val="28"/>
        </w:rPr>
        <w:t>本学位点积极鼓励和支持研究生参加国内外学术会议，开展对外学术交流</w:t>
      </w:r>
      <w:r w:rsidRPr="00197863">
        <w:rPr>
          <w:rFonts w:ascii="宋体" w:eastAsia="宋体" w:hAnsi="宋体"/>
          <w:color w:val="auto"/>
          <w:sz w:val="28"/>
          <w:szCs w:val="28"/>
        </w:rPr>
        <w:t>，</w:t>
      </w:r>
      <w:r w:rsidRPr="00197863">
        <w:rPr>
          <w:rFonts w:ascii="宋体" w:eastAsia="宋体" w:hAnsi="宋体" w:hint="eastAsia"/>
          <w:color w:val="auto"/>
          <w:sz w:val="28"/>
          <w:szCs w:val="28"/>
        </w:rPr>
        <w:t>2023</w:t>
      </w:r>
      <w:r w:rsidRPr="00197863">
        <w:rPr>
          <w:rFonts w:ascii="宋体" w:eastAsia="宋体" w:hAnsi="宋体" w:hint="eastAsia"/>
          <w:color w:val="auto"/>
          <w:sz w:val="28"/>
          <w:szCs w:val="28"/>
        </w:rPr>
        <w:t>年共有</w:t>
      </w:r>
      <w:r w:rsidRPr="00197863">
        <w:rPr>
          <w:rFonts w:ascii="宋体" w:eastAsia="宋体" w:hAnsi="宋体" w:hint="eastAsia"/>
          <w:color w:val="auto"/>
          <w:sz w:val="28"/>
          <w:szCs w:val="28"/>
        </w:rPr>
        <w:t>60</w:t>
      </w:r>
      <w:r w:rsidRPr="00197863">
        <w:rPr>
          <w:rFonts w:ascii="宋体" w:eastAsia="宋体" w:hAnsi="宋体" w:hint="eastAsia"/>
          <w:color w:val="auto"/>
          <w:sz w:val="28"/>
          <w:szCs w:val="28"/>
        </w:rPr>
        <w:t>人次参加</w:t>
      </w:r>
      <w:r w:rsidRPr="00197863">
        <w:rPr>
          <w:rFonts w:ascii="宋体" w:eastAsia="宋体" w:hAnsi="宋体"/>
          <w:color w:val="auto"/>
          <w:sz w:val="28"/>
          <w:szCs w:val="28"/>
        </w:rPr>
        <w:t>20</w:t>
      </w:r>
      <w:r w:rsidRPr="00197863">
        <w:rPr>
          <w:rFonts w:ascii="宋体" w:eastAsia="宋体" w:hAnsi="宋体" w:hint="eastAsia"/>
          <w:color w:val="auto"/>
          <w:sz w:val="28"/>
          <w:szCs w:val="28"/>
        </w:rPr>
        <w:t>项国内国际会议</w:t>
      </w:r>
      <w:r w:rsidRPr="00197863">
        <w:rPr>
          <w:rFonts w:ascii="宋体" w:eastAsia="宋体" w:hAnsi="宋体" w:cs="宋体" w:hint="eastAsia"/>
          <w:color w:val="auto"/>
          <w:sz w:val="28"/>
          <w:szCs w:val="28"/>
        </w:rPr>
        <w:t>。</w:t>
      </w:r>
    </w:p>
    <w:p w14:paraId="383905B6" w14:textId="77777777" w:rsidR="00CC059E" w:rsidRDefault="005B731A">
      <w:pPr>
        <w:pStyle w:val="3"/>
        <w:ind w:firstLine="643"/>
      </w:pPr>
      <w:r>
        <w:t>3.7</w:t>
      </w:r>
      <w:r>
        <w:t>论文质量</w:t>
      </w:r>
    </w:p>
    <w:p w14:paraId="7E9CF1DA" w14:textId="77777777" w:rsidR="00CC059E" w:rsidRDefault="005B731A">
      <w:pPr>
        <w:spacing w:line="360" w:lineRule="auto"/>
        <w:ind w:firstLineChars="200" w:firstLine="560"/>
        <w:rPr>
          <w:szCs w:val="28"/>
        </w:rPr>
      </w:pPr>
      <w:r>
        <w:rPr>
          <w:szCs w:val="28"/>
        </w:rPr>
        <w:t>本学位点</w:t>
      </w:r>
      <w:r>
        <w:rPr>
          <w:rFonts w:ascii="宋体" w:hAnsi="宋体" w:cs="宋体" w:hint="eastAsia"/>
          <w:szCs w:val="28"/>
        </w:rPr>
        <w:t>强化学位论文的过程管理，不断完善“选题</w:t>
      </w:r>
      <w:r>
        <w:rPr>
          <w:rFonts w:ascii="宋体" w:hAnsi="宋体" w:cs="宋体" w:hint="eastAsia"/>
          <w:szCs w:val="28"/>
        </w:rPr>
        <w:t>-</w:t>
      </w:r>
      <w:r>
        <w:rPr>
          <w:rFonts w:ascii="宋体" w:hAnsi="宋体" w:cs="宋体" w:hint="eastAsia"/>
          <w:szCs w:val="28"/>
        </w:rPr>
        <w:t>开题</w:t>
      </w:r>
      <w:r>
        <w:rPr>
          <w:rFonts w:ascii="宋体" w:hAnsi="宋体" w:cs="宋体" w:hint="eastAsia"/>
          <w:szCs w:val="28"/>
        </w:rPr>
        <w:t>-</w:t>
      </w:r>
      <w:r>
        <w:rPr>
          <w:rFonts w:ascii="宋体" w:hAnsi="宋体" w:cs="宋体" w:hint="eastAsia"/>
          <w:szCs w:val="28"/>
        </w:rPr>
        <w:t>中期考核</w:t>
      </w:r>
      <w:r>
        <w:rPr>
          <w:rFonts w:ascii="宋体" w:hAnsi="宋体" w:cs="宋体" w:hint="eastAsia"/>
          <w:szCs w:val="28"/>
        </w:rPr>
        <w:t>-</w:t>
      </w:r>
      <w:r>
        <w:rPr>
          <w:rFonts w:ascii="宋体" w:hAnsi="宋体" w:cs="宋体" w:hint="eastAsia"/>
          <w:szCs w:val="28"/>
        </w:rPr>
        <w:t>学术不端检测</w:t>
      </w:r>
      <w:r>
        <w:rPr>
          <w:rFonts w:ascii="宋体" w:hAnsi="宋体" w:cs="宋体" w:hint="eastAsia"/>
          <w:szCs w:val="28"/>
        </w:rPr>
        <w:t>-</w:t>
      </w:r>
      <w:r>
        <w:rPr>
          <w:rFonts w:ascii="宋体" w:hAnsi="宋体" w:cs="宋体" w:hint="eastAsia"/>
          <w:szCs w:val="28"/>
        </w:rPr>
        <w:t>预答辩</w:t>
      </w:r>
      <w:r>
        <w:rPr>
          <w:rFonts w:ascii="宋体" w:hAnsi="宋体" w:cs="宋体" w:hint="eastAsia"/>
          <w:szCs w:val="28"/>
        </w:rPr>
        <w:t>-</w:t>
      </w:r>
      <w:r>
        <w:rPr>
          <w:rFonts w:ascii="宋体" w:hAnsi="宋体" w:cs="宋体" w:hint="eastAsia"/>
          <w:szCs w:val="28"/>
        </w:rPr>
        <w:t>答辩”全流程动态监控体系；坚决落实论文质量管理奖惩</w:t>
      </w:r>
      <w:r>
        <w:rPr>
          <w:rFonts w:hint="eastAsia"/>
          <w:szCs w:val="28"/>
        </w:rPr>
        <w:t>制度；实行学位论文</w:t>
      </w:r>
      <w:r w:rsidRPr="00485B6C">
        <w:rPr>
          <w:rFonts w:ascii="宋体" w:hAnsi="宋体" w:hint="eastAsia"/>
          <w:szCs w:val="28"/>
        </w:rPr>
        <w:t>1</w:t>
      </w:r>
      <w:r w:rsidRPr="00485B6C">
        <w:rPr>
          <w:rFonts w:ascii="宋体" w:hAnsi="宋体"/>
          <w:szCs w:val="28"/>
        </w:rPr>
        <w:t>00%</w:t>
      </w:r>
      <w:r>
        <w:rPr>
          <w:rFonts w:hint="eastAsia"/>
          <w:szCs w:val="28"/>
        </w:rPr>
        <w:t>校级匿名评阅制度，</w:t>
      </w:r>
      <w:r>
        <w:rPr>
          <w:rFonts w:ascii="宋体" w:hAnsi="宋体" w:hint="eastAsia"/>
        </w:rPr>
        <w:t>严把学术关口，加强研究生的过程培养规范，提升研究生培养质量。</w:t>
      </w:r>
    </w:p>
    <w:p w14:paraId="65F7371F" w14:textId="77777777" w:rsidR="00CC059E" w:rsidRDefault="005B731A">
      <w:pPr>
        <w:pStyle w:val="3"/>
        <w:ind w:firstLine="643"/>
      </w:pPr>
      <w:r>
        <w:t>3.8</w:t>
      </w:r>
      <w:r>
        <w:t>质量保证</w:t>
      </w:r>
    </w:p>
    <w:p w14:paraId="580A9513" w14:textId="77777777" w:rsidR="00CC059E" w:rsidRDefault="005B731A">
      <w:pPr>
        <w:pStyle w:val="Default"/>
        <w:ind w:firstLineChars="200" w:firstLine="560"/>
        <w:rPr>
          <w:rFonts w:ascii="宋体" w:eastAsia="宋体" w:hAnsi="宋体" w:cs="宋体"/>
          <w:color w:val="auto"/>
          <w:sz w:val="28"/>
          <w:szCs w:val="28"/>
        </w:rPr>
      </w:pPr>
      <w:r>
        <w:rPr>
          <w:rFonts w:ascii="宋体" w:eastAsia="宋体" w:hAnsi="宋体" w:cs="宋体"/>
          <w:color w:val="auto"/>
          <w:sz w:val="28"/>
          <w:szCs w:val="28"/>
        </w:rPr>
        <w:t>在课程设计、实习实践、毕业答辩等多个教学环节与国</w:t>
      </w:r>
      <w:r>
        <w:rPr>
          <w:rFonts w:ascii="宋体" w:eastAsia="宋体" w:hAnsi="宋体" w:cs="宋体" w:hint="eastAsia"/>
          <w:color w:val="auto"/>
          <w:sz w:val="28"/>
          <w:szCs w:val="28"/>
        </w:rPr>
        <w:t>内</w:t>
      </w:r>
      <w:r>
        <w:rPr>
          <w:rFonts w:ascii="宋体" w:eastAsia="宋体" w:hAnsi="宋体" w:cs="宋体"/>
          <w:color w:val="auto"/>
          <w:sz w:val="28"/>
          <w:szCs w:val="28"/>
        </w:rPr>
        <w:t>外相关大学、企业开展合作，提升人才培养水平。</w:t>
      </w:r>
      <w:r>
        <w:rPr>
          <w:rFonts w:ascii="宋体" w:eastAsia="宋体" w:hAnsi="宋体" w:cs="宋体" w:hint="eastAsia"/>
          <w:color w:val="auto"/>
          <w:sz w:val="28"/>
          <w:szCs w:val="28"/>
        </w:rPr>
        <w:t>依据能力培养目标，形成相关课程定性定量相结合、主客观评价相结合的评价体系，保证教学质量。</w:t>
      </w:r>
      <w:r>
        <w:rPr>
          <w:rFonts w:ascii="Calibri" w:eastAsia="宋体" w:hint="eastAsia"/>
          <w:color w:val="auto"/>
          <w:kern w:val="2"/>
          <w:sz w:val="28"/>
          <w:szCs w:val="28"/>
        </w:rPr>
        <w:t>不断完善学校、学院二级教学督导体系，围绕课程意</w:t>
      </w:r>
      <w:r>
        <w:rPr>
          <w:rFonts w:ascii="Calibri" w:eastAsia="宋体" w:hint="eastAsia"/>
          <w:color w:val="auto"/>
          <w:kern w:val="2"/>
          <w:sz w:val="28"/>
          <w:szCs w:val="28"/>
        </w:rPr>
        <w:lastRenderedPageBreak/>
        <w:t>识形态、教学内容、教学方法、教学效</w:t>
      </w:r>
      <w:r>
        <w:rPr>
          <w:rFonts w:ascii="Calibri" w:eastAsia="宋体" w:hint="eastAsia"/>
          <w:color w:val="auto"/>
          <w:kern w:val="2"/>
          <w:sz w:val="28"/>
          <w:szCs w:val="28"/>
        </w:rPr>
        <w:t>果等进行监督，强化监督结果的反馈与应用，形成课程质量督导的完整闭环。</w:t>
      </w:r>
    </w:p>
    <w:p w14:paraId="2905DA90" w14:textId="77777777" w:rsidR="00CC059E" w:rsidRDefault="005B731A">
      <w:pPr>
        <w:pStyle w:val="3"/>
        <w:ind w:firstLine="643"/>
      </w:pPr>
      <w:r>
        <w:rPr>
          <w:rFonts w:hint="eastAsia"/>
        </w:rPr>
        <w:t>3</w:t>
      </w:r>
      <w:r>
        <w:t>.9</w:t>
      </w:r>
      <w:r>
        <w:t>学风建设</w:t>
      </w:r>
    </w:p>
    <w:p w14:paraId="609E85ED" w14:textId="771FF566" w:rsidR="00CC059E" w:rsidRDefault="005B731A">
      <w:pPr>
        <w:pStyle w:val="Default"/>
        <w:ind w:firstLineChars="200" w:firstLine="560"/>
        <w:rPr>
          <w:rFonts w:eastAsia="宋体"/>
          <w:color w:val="auto"/>
          <w:sz w:val="28"/>
          <w:szCs w:val="28"/>
        </w:rPr>
      </w:pPr>
      <w:r>
        <w:rPr>
          <w:rFonts w:eastAsia="宋体"/>
          <w:color w:val="auto"/>
          <w:sz w:val="28"/>
          <w:szCs w:val="28"/>
        </w:rPr>
        <w:t>本学位点组织开展内容丰富、形式多样的研究生教育和实践活动，促进研究生身心健康成长、全面发展。以科学道德和学风建设为主题开展思想政治教育工作，通过</w:t>
      </w:r>
      <w:r w:rsidR="00970EE2">
        <w:rPr>
          <w:rFonts w:eastAsia="宋体"/>
          <w:color w:val="auto"/>
          <w:sz w:val="28"/>
          <w:szCs w:val="28"/>
        </w:rPr>
        <w:t>新生入学教育</w:t>
      </w:r>
      <w:r>
        <w:rPr>
          <w:rFonts w:eastAsia="宋体"/>
          <w:color w:val="auto"/>
          <w:sz w:val="28"/>
          <w:szCs w:val="28"/>
        </w:rPr>
        <w:t>等加强学术道德教育。积极组织开展研究生创新实践活动，努力营造争先创优的良好风气。大力表彰、宣传先进典型，积极发挥他们的激励示范作用，在研究生中营造争先创优的良好的学习研究氛围</w:t>
      </w:r>
      <w:r>
        <w:rPr>
          <w:rFonts w:eastAsia="宋体" w:hint="eastAsia"/>
          <w:color w:val="auto"/>
          <w:sz w:val="28"/>
          <w:szCs w:val="28"/>
        </w:rPr>
        <w:t>，</w:t>
      </w:r>
      <w:r>
        <w:rPr>
          <w:rFonts w:eastAsia="宋体"/>
          <w:color w:val="auto"/>
          <w:sz w:val="28"/>
          <w:szCs w:val="28"/>
        </w:rPr>
        <w:t>从而形成</w:t>
      </w:r>
      <w:r>
        <w:rPr>
          <w:rFonts w:eastAsia="宋体" w:hint="eastAsia"/>
          <w:color w:val="auto"/>
          <w:sz w:val="28"/>
          <w:szCs w:val="28"/>
        </w:rPr>
        <w:t>学而不厌，勤于钻研，为学必真，求知探源的良好学风。</w:t>
      </w:r>
    </w:p>
    <w:p w14:paraId="3C84B71B" w14:textId="77777777" w:rsidR="00CC059E" w:rsidRDefault="005B731A">
      <w:pPr>
        <w:pStyle w:val="3"/>
        <w:ind w:firstLine="643"/>
        <w:rPr>
          <w:rFonts w:cs="Arial"/>
          <w:color w:val="000000"/>
          <w:kern w:val="0"/>
          <w:szCs w:val="28"/>
        </w:rPr>
      </w:pPr>
      <w:r>
        <w:rPr>
          <w:rStyle w:val="30"/>
          <w:rFonts w:hint="eastAsia"/>
          <w:b/>
        </w:rPr>
        <w:t>3</w:t>
      </w:r>
      <w:r>
        <w:rPr>
          <w:rStyle w:val="30"/>
          <w:b/>
        </w:rPr>
        <w:t>.10</w:t>
      </w:r>
      <w:r>
        <w:rPr>
          <w:rStyle w:val="30"/>
          <w:rFonts w:hint="eastAsia"/>
          <w:b/>
        </w:rPr>
        <w:t>管理服务</w:t>
      </w:r>
    </w:p>
    <w:p w14:paraId="4A7150C3" w14:textId="77777777" w:rsidR="00CC059E" w:rsidRDefault="005B731A">
      <w:pPr>
        <w:spacing w:line="324" w:lineRule="auto"/>
        <w:ind w:firstLineChars="200" w:firstLine="560"/>
        <w:rPr>
          <w:rFonts w:ascii="宋体" w:hAnsi="宋体"/>
        </w:rPr>
      </w:pPr>
      <w:r>
        <w:rPr>
          <w:rFonts w:ascii="宋体" w:hAnsi="宋体" w:hint="eastAsia"/>
        </w:rPr>
        <w:t>学校根据国家一系列法律法规，制定研究生管理制度，保证培养质量，明确界定权利与义务，在制度上尊重和保障研究生的各项权益，从而保障其自由全面的发展。通过加强师生制度化意识，完善研究生权益保障管理制度，促进研究生权益保障制度化体系的进一步完善。</w:t>
      </w:r>
    </w:p>
    <w:p w14:paraId="78342D64" w14:textId="77777777" w:rsidR="00CC059E" w:rsidRDefault="005B731A" w:rsidP="00485B6C">
      <w:pPr>
        <w:pStyle w:val="4"/>
        <w:ind w:leftChars="0" w:left="0" w:firstLineChars="200" w:firstLine="562"/>
      </w:pPr>
      <w:r>
        <w:rPr>
          <w:rFonts w:hint="eastAsia"/>
        </w:rPr>
        <w:t>（</w:t>
      </w:r>
      <w:r>
        <w:rPr>
          <w:rFonts w:hint="eastAsia"/>
        </w:rPr>
        <w:t>1</w:t>
      </w:r>
      <w:r>
        <w:rPr>
          <w:rFonts w:hint="eastAsia"/>
        </w:rPr>
        <w:t>）加强学生支部建设</w:t>
      </w:r>
    </w:p>
    <w:p w14:paraId="04BE4C65" w14:textId="68D63E71" w:rsidR="00CC059E" w:rsidRDefault="005B731A">
      <w:pPr>
        <w:pStyle w:val="Default"/>
        <w:ind w:firstLineChars="200" w:firstLine="560"/>
        <w:rPr>
          <w:rFonts w:ascii="宋体" w:eastAsia="宋体" w:hAnsi="宋体"/>
          <w:color w:val="auto"/>
          <w:kern w:val="2"/>
          <w:sz w:val="28"/>
          <w:szCs w:val="22"/>
        </w:rPr>
      </w:pPr>
      <w:r>
        <w:rPr>
          <w:rFonts w:ascii="宋体" w:eastAsia="宋体" w:hAnsi="宋体" w:hint="eastAsia"/>
          <w:color w:val="auto"/>
          <w:kern w:val="2"/>
          <w:sz w:val="28"/>
          <w:szCs w:val="22"/>
        </w:rPr>
        <w:t>本学位点现有</w:t>
      </w:r>
      <w:r>
        <w:rPr>
          <w:rFonts w:ascii="宋体" w:eastAsia="宋体" w:hAnsi="宋体" w:hint="eastAsia"/>
          <w:color w:val="auto"/>
          <w:kern w:val="2"/>
          <w:sz w:val="28"/>
          <w:szCs w:val="22"/>
        </w:rPr>
        <w:t>2023</w:t>
      </w:r>
      <w:r>
        <w:rPr>
          <w:rFonts w:ascii="宋体" w:eastAsia="宋体" w:hAnsi="宋体" w:hint="eastAsia"/>
          <w:color w:val="auto"/>
          <w:kern w:val="2"/>
          <w:sz w:val="28"/>
          <w:szCs w:val="22"/>
        </w:rPr>
        <w:t>年建筑系研究生党支部研究生党员</w:t>
      </w:r>
      <w:r>
        <w:rPr>
          <w:rFonts w:ascii="宋体" w:eastAsia="宋体" w:hAnsi="宋体" w:hint="eastAsia"/>
          <w:color w:val="auto"/>
          <w:kern w:val="2"/>
          <w:sz w:val="28"/>
          <w:szCs w:val="22"/>
        </w:rPr>
        <w:t>39</w:t>
      </w:r>
      <w:r>
        <w:rPr>
          <w:rFonts w:ascii="宋体" w:eastAsia="宋体" w:hAnsi="宋体" w:hint="eastAsia"/>
          <w:color w:val="auto"/>
          <w:kern w:val="2"/>
          <w:sz w:val="28"/>
          <w:szCs w:val="22"/>
        </w:rPr>
        <w:t>名。党支部建设致力于培育政治文化建设氛围，组织开展学生党员主题党日以及多形式的</w:t>
      </w:r>
      <w:r w:rsidR="00590E3A">
        <w:rPr>
          <w:rFonts w:ascii="宋体" w:eastAsia="宋体" w:hAnsi="宋体" w:hint="eastAsia"/>
          <w:color w:val="auto"/>
          <w:kern w:val="2"/>
          <w:sz w:val="28"/>
          <w:szCs w:val="22"/>
        </w:rPr>
        <w:t>主题教育</w:t>
      </w:r>
      <w:r>
        <w:rPr>
          <w:rFonts w:ascii="宋体" w:eastAsia="宋体" w:hAnsi="宋体" w:hint="eastAsia"/>
          <w:color w:val="auto"/>
          <w:kern w:val="2"/>
          <w:sz w:val="28"/>
          <w:szCs w:val="22"/>
        </w:rPr>
        <w:t>。并在学生党员中聘任“助理班主任”协</w:t>
      </w:r>
      <w:r>
        <w:rPr>
          <w:rFonts w:ascii="宋体" w:eastAsia="宋体" w:hAnsi="宋体" w:hint="eastAsia"/>
          <w:color w:val="auto"/>
          <w:kern w:val="2"/>
          <w:sz w:val="28"/>
          <w:szCs w:val="22"/>
        </w:rPr>
        <w:lastRenderedPageBreak/>
        <w:t>助开展对研究生的管理工作。</w:t>
      </w:r>
    </w:p>
    <w:p w14:paraId="138563EF" w14:textId="77777777" w:rsidR="00CC059E" w:rsidRDefault="005B731A" w:rsidP="00485B6C">
      <w:pPr>
        <w:pStyle w:val="4"/>
        <w:ind w:leftChars="0" w:left="0" w:firstLineChars="200" w:firstLine="562"/>
      </w:pPr>
      <w:r>
        <w:rPr>
          <w:rFonts w:hint="eastAsia"/>
        </w:rPr>
        <w:t>（</w:t>
      </w:r>
      <w:r>
        <w:rPr>
          <w:rFonts w:hint="eastAsia"/>
        </w:rPr>
        <w:t>2</w:t>
      </w:r>
      <w:r>
        <w:rPr>
          <w:rFonts w:hint="eastAsia"/>
        </w:rPr>
        <w:t>）健全日常管理服务体制</w:t>
      </w:r>
    </w:p>
    <w:p w14:paraId="7F5785DC" w14:textId="2F478BDE" w:rsidR="00CC059E" w:rsidRDefault="005B731A">
      <w:pPr>
        <w:spacing w:line="324" w:lineRule="auto"/>
        <w:ind w:firstLineChars="200" w:firstLine="560"/>
        <w:rPr>
          <w:rFonts w:ascii="宋体" w:hAnsi="宋体"/>
        </w:rPr>
      </w:pPr>
      <w:r>
        <w:rPr>
          <w:rFonts w:ascii="宋体" w:hAnsi="宋体" w:hint="eastAsia"/>
        </w:rPr>
        <w:t>健全主管副院长、研究生秘书、研究生教务秘书、系主任、导师</w:t>
      </w:r>
      <w:r w:rsidR="00590E3A">
        <w:rPr>
          <w:rFonts w:ascii="宋体" w:hAnsi="宋体" w:hint="eastAsia"/>
        </w:rPr>
        <w:t>（</w:t>
      </w:r>
      <w:r>
        <w:rPr>
          <w:rFonts w:ascii="宋体" w:hAnsi="宋体" w:hint="eastAsia"/>
        </w:rPr>
        <w:t>导师团队</w:t>
      </w:r>
      <w:r w:rsidR="00590E3A">
        <w:rPr>
          <w:rFonts w:ascii="宋体" w:hAnsi="宋体" w:hint="eastAsia"/>
        </w:rPr>
        <w:t>）</w:t>
      </w:r>
      <w:r>
        <w:rPr>
          <w:rFonts w:ascii="宋体" w:hAnsi="宋体" w:hint="eastAsia"/>
        </w:rPr>
        <w:t>分层负责制，落实以班级为单位配置班主任和专职研究生辅导员的要求，提升整体管理水平，切实做到从需求出发保障研究生权益。</w:t>
      </w:r>
    </w:p>
    <w:p w14:paraId="5BB75868" w14:textId="77777777" w:rsidR="00CC059E" w:rsidRDefault="005B731A" w:rsidP="00485B6C">
      <w:pPr>
        <w:pStyle w:val="4"/>
        <w:ind w:leftChars="0" w:left="0" w:firstLineChars="200" w:firstLine="562"/>
      </w:pPr>
      <w:r>
        <w:rPr>
          <w:rFonts w:hint="eastAsia"/>
        </w:rPr>
        <w:t>（</w:t>
      </w:r>
      <w:r>
        <w:rPr>
          <w:rFonts w:hint="eastAsia"/>
        </w:rPr>
        <w:t>3</w:t>
      </w:r>
      <w:r>
        <w:rPr>
          <w:rFonts w:hint="eastAsia"/>
        </w:rPr>
        <w:t>）完善日常管理服务制度</w:t>
      </w:r>
    </w:p>
    <w:p w14:paraId="23C787FE" w14:textId="77777777" w:rsidR="00CC059E" w:rsidRDefault="005B731A">
      <w:pPr>
        <w:spacing w:line="324" w:lineRule="auto"/>
        <w:ind w:firstLineChars="200" w:firstLine="560"/>
        <w:rPr>
          <w:rFonts w:ascii="宋体" w:hAnsi="宋体"/>
        </w:rPr>
      </w:pPr>
      <w:r>
        <w:rPr>
          <w:rFonts w:ascii="宋体" w:hAnsi="宋体" w:hint="eastAsia"/>
        </w:rPr>
        <w:t>根据各级工作要求，在学校日常管理体系下，学院制定和完善各种规章制度及实施细则，并进行及时更新，从而制度化管理体系。根据《天津城建大学建筑学院硕士研究生奖学金评审细则》。对研究生奖学金评定、助学金发放，贫困生认定、优秀干部评选、考风考纪等涉及学生根本利益的事项，做到事前公开、过程公开和结果公开。</w:t>
      </w:r>
    </w:p>
    <w:p w14:paraId="38B8D891" w14:textId="77777777" w:rsidR="00CC059E" w:rsidRDefault="005B731A" w:rsidP="00485B6C">
      <w:pPr>
        <w:pStyle w:val="4"/>
        <w:ind w:leftChars="0" w:left="0" w:firstLineChars="200" w:firstLine="562"/>
      </w:pPr>
      <w:r>
        <w:rPr>
          <w:rFonts w:hint="eastAsia"/>
        </w:rPr>
        <w:t>（</w:t>
      </w:r>
      <w:r>
        <w:rPr>
          <w:rFonts w:hint="eastAsia"/>
        </w:rPr>
        <w:t>4</w:t>
      </w:r>
      <w:r>
        <w:rPr>
          <w:rFonts w:hint="eastAsia"/>
        </w:rPr>
        <w:t>）开展多维度满意度调查</w:t>
      </w:r>
    </w:p>
    <w:p w14:paraId="2658FC7B" w14:textId="77777777" w:rsidR="00CC059E" w:rsidRDefault="005B731A">
      <w:pPr>
        <w:spacing w:line="324" w:lineRule="auto"/>
        <w:ind w:firstLineChars="200" w:firstLine="560"/>
        <w:rPr>
          <w:rFonts w:ascii="宋体" w:hAnsi="宋体"/>
        </w:rPr>
      </w:pPr>
      <w:r>
        <w:rPr>
          <w:rFonts w:ascii="宋体" w:hAnsi="宋体" w:hint="eastAsia"/>
        </w:rPr>
        <w:t>由学校组织在校研究生进行整体满意度调查，学</w:t>
      </w:r>
      <w:r>
        <w:rPr>
          <w:rFonts w:ascii="宋体" w:hAnsi="宋体" w:hint="eastAsia"/>
        </w:rPr>
        <w:t>院就新开设课程进行专项满意度调查，在此基础上进行学生最喜欢的导师评选，依据相关反馈发现问题并及时进行改进。</w:t>
      </w:r>
    </w:p>
    <w:p w14:paraId="3EDAD14D" w14:textId="77777777" w:rsidR="00CC059E" w:rsidRDefault="005B731A">
      <w:pPr>
        <w:pStyle w:val="3"/>
        <w:ind w:firstLine="643"/>
      </w:pPr>
      <w:r>
        <w:rPr>
          <w:rFonts w:hint="eastAsia"/>
        </w:rPr>
        <w:t>3</w:t>
      </w:r>
      <w:r>
        <w:t>.11</w:t>
      </w:r>
      <w:r>
        <w:rPr>
          <w:rFonts w:hint="eastAsia"/>
        </w:rPr>
        <w:t>就业发展</w:t>
      </w:r>
    </w:p>
    <w:p w14:paraId="6B9C4FE9" w14:textId="5013BCF5" w:rsidR="00CC059E" w:rsidRDefault="005B731A">
      <w:pPr>
        <w:pStyle w:val="Default"/>
        <w:ind w:firstLine="560"/>
        <w:rPr>
          <w:rFonts w:ascii="宋体" w:eastAsia="宋体" w:hAnsi="宋体" w:cs="宋体"/>
          <w:color w:val="auto"/>
          <w:sz w:val="28"/>
          <w:szCs w:val="28"/>
        </w:rPr>
      </w:pPr>
      <w:r>
        <w:rPr>
          <w:rFonts w:ascii="宋体" w:eastAsia="宋体" w:hAnsi="宋体" w:cs="宋体" w:hint="eastAsia"/>
          <w:color w:val="auto"/>
          <w:sz w:val="28"/>
          <w:szCs w:val="28"/>
        </w:rPr>
        <w:t>2023</w:t>
      </w:r>
      <w:r>
        <w:rPr>
          <w:rFonts w:ascii="宋体" w:eastAsia="宋体" w:hAnsi="宋体" w:cs="宋体" w:hint="eastAsia"/>
          <w:color w:val="auto"/>
          <w:sz w:val="28"/>
          <w:szCs w:val="28"/>
        </w:rPr>
        <w:t>年，本学位点共毕业</w:t>
      </w:r>
      <w:r>
        <w:rPr>
          <w:rFonts w:ascii="宋体" w:eastAsia="宋体" w:hAnsi="宋体" w:cs="宋体" w:hint="eastAsia"/>
          <w:color w:val="auto"/>
          <w:sz w:val="28"/>
          <w:szCs w:val="28"/>
        </w:rPr>
        <w:t>34</w:t>
      </w:r>
      <w:r>
        <w:rPr>
          <w:rFonts w:ascii="宋体" w:eastAsia="宋体" w:hAnsi="宋体" w:cs="宋体" w:hint="eastAsia"/>
          <w:color w:val="auto"/>
          <w:sz w:val="28"/>
          <w:szCs w:val="28"/>
        </w:rPr>
        <w:t>人，授予硕士学位</w:t>
      </w:r>
      <w:r>
        <w:rPr>
          <w:rFonts w:ascii="宋体" w:eastAsia="宋体" w:hAnsi="宋体" w:cs="宋体" w:hint="eastAsia"/>
          <w:color w:val="auto"/>
          <w:sz w:val="28"/>
          <w:szCs w:val="28"/>
        </w:rPr>
        <w:t>34</w:t>
      </w:r>
      <w:r>
        <w:rPr>
          <w:rFonts w:ascii="宋体" w:eastAsia="宋体" w:hAnsi="宋体" w:cs="宋体" w:hint="eastAsia"/>
          <w:color w:val="auto"/>
          <w:sz w:val="28"/>
          <w:szCs w:val="28"/>
        </w:rPr>
        <w:t>人，所有毕业生均授予学位。总体就业率为</w:t>
      </w:r>
      <w:r>
        <w:rPr>
          <w:rFonts w:ascii="宋体" w:eastAsia="宋体" w:hAnsi="宋体" w:cs="宋体" w:hint="eastAsia"/>
          <w:color w:val="auto"/>
          <w:sz w:val="28"/>
          <w:szCs w:val="28"/>
        </w:rPr>
        <w:t>91</w:t>
      </w:r>
      <w:r>
        <w:rPr>
          <w:rFonts w:ascii="宋体" w:eastAsia="宋体" w:hAnsi="宋体" w:cs="宋体"/>
          <w:color w:val="auto"/>
          <w:sz w:val="28"/>
          <w:szCs w:val="28"/>
        </w:rPr>
        <w:t>.</w:t>
      </w:r>
      <w:r>
        <w:rPr>
          <w:rFonts w:ascii="宋体" w:eastAsia="宋体" w:hAnsi="宋体" w:cs="宋体" w:hint="eastAsia"/>
          <w:color w:val="auto"/>
          <w:sz w:val="28"/>
          <w:szCs w:val="28"/>
        </w:rPr>
        <w:t>7%</w:t>
      </w:r>
      <w:r>
        <w:rPr>
          <w:rFonts w:ascii="宋体" w:eastAsia="宋体" w:hAnsi="宋体" w:cs="宋体" w:hint="eastAsia"/>
          <w:color w:val="auto"/>
          <w:sz w:val="28"/>
          <w:szCs w:val="28"/>
        </w:rPr>
        <w:t>。</w:t>
      </w:r>
      <w:r>
        <w:rPr>
          <w:rFonts w:ascii="宋体" w:eastAsia="宋体" w:hAnsi="宋体" w:cs="宋体" w:hint="eastAsia"/>
          <w:color w:val="auto"/>
          <w:sz w:val="28"/>
          <w:szCs w:val="28"/>
        </w:rPr>
        <w:t>2023</w:t>
      </w:r>
      <w:r>
        <w:rPr>
          <w:rFonts w:ascii="宋体" w:eastAsia="宋体" w:hAnsi="宋体" w:cs="宋体" w:hint="eastAsia"/>
          <w:color w:val="auto"/>
          <w:sz w:val="28"/>
          <w:szCs w:val="28"/>
        </w:rPr>
        <w:t>年本学位点学生就业情况</w:t>
      </w:r>
      <w:r>
        <w:rPr>
          <w:rFonts w:ascii="宋体" w:eastAsia="宋体" w:hAnsi="宋体" w:cs="宋体" w:hint="eastAsia"/>
          <w:color w:val="auto"/>
          <w:sz w:val="28"/>
          <w:szCs w:val="28"/>
        </w:rPr>
        <w:lastRenderedPageBreak/>
        <w:t>见表</w:t>
      </w:r>
      <w:r w:rsidR="00590E3A">
        <w:rPr>
          <w:rFonts w:ascii="宋体" w:eastAsia="宋体" w:hAnsi="宋体" w:cs="宋体" w:hint="eastAsia"/>
          <w:color w:val="auto"/>
          <w:sz w:val="28"/>
          <w:szCs w:val="28"/>
        </w:rPr>
        <w:t>3</w:t>
      </w:r>
      <w:r>
        <w:rPr>
          <w:rFonts w:ascii="宋体" w:eastAsia="宋体" w:hAnsi="宋体" w:cs="宋体" w:hint="eastAsia"/>
          <w:color w:val="auto"/>
          <w:sz w:val="28"/>
          <w:szCs w:val="28"/>
        </w:rPr>
        <w:t>。</w:t>
      </w:r>
    </w:p>
    <w:p w14:paraId="66B28EC9" w14:textId="0D49371A" w:rsidR="00CC059E" w:rsidRDefault="005B731A">
      <w:pPr>
        <w:pStyle w:val="Default"/>
        <w:ind w:firstLine="420"/>
        <w:jc w:val="center"/>
        <w:rPr>
          <w:rFonts w:ascii="宋体" w:eastAsia="宋体" w:hAnsi="宋体"/>
          <w:color w:val="auto"/>
          <w:sz w:val="21"/>
          <w:szCs w:val="21"/>
        </w:rPr>
      </w:pPr>
      <w:r>
        <w:rPr>
          <w:rFonts w:ascii="宋体" w:eastAsia="宋体" w:hAnsi="宋体"/>
          <w:color w:val="auto"/>
          <w:sz w:val="21"/>
          <w:szCs w:val="21"/>
        </w:rPr>
        <w:t>表</w:t>
      </w:r>
      <w:r w:rsidR="00590E3A">
        <w:rPr>
          <w:rFonts w:ascii="宋体" w:eastAsia="宋体" w:hAnsi="宋体" w:hint="eastAsia"/>
          <w:color w:val="auto"/>
          <w:sz w:val="21"/>
          <w:szCs w:val="21"/>
        </w:rPr>
        <w:t>3</w:t>
      </w:r>
      <w:r>
        <w:rPr>
          <w:rFonts w:ascii="宋体" w:eastAsia="宋体" w:hAnsi="宋体"/>
          <w:color w:val="auto"/>
          <w:sz w:val="21"/>
          <w:szCs w:val="21"/>
        </w:rPr>
        <w:t xml:space="preserve"> </w:t>
      </w:r>
      <w:r>
        <w:rPr>
          <w:rFonts w:ascii="宋体" w:eastAsia="宋体" w:hAnsi="宋体"/>
          <w:color w:val="auto"/>
          <w:sz w:val="21"/>
          <w:szCs w:val="21"/>
        </w:rPr>
        <w:t>签约单位类型分布</w:t>
      </w:r>
    </w:p>
    <w:tbl>
      <w:tblPr>
        <w:tblStyle w:val="a7"/>
        <w:tblW w:w="0" w:type="auto"/>
        <w:tblLook w:val="04A0" w:firstRow="1" w:lastRow="0" w:firstColumn="1" w:lastColumn="0" w:noHBand="0" w:noVBand="1"/>
      </w:tblPr>
      <w:tblGrid>
        <w:gridCol w:w="591"/>
        <w:gridCol w:w="591"/>
        <w:gridCol w:w="592"/>
        <w:gridCol w:w="592"/>
        <w:gridCol w:w="593"/>
        <w:gridCol w:w="593"/>
        <w:gridCol w:w="593"/>
        <w:gridCol w:w="593"/>
        <w:gridCol w:w="593"/>
        <w:gridCol w:w="593"/>
        <w:gridCol w:w="593"/>
        <w:gridCol w:w="593"/>
        <w:gridCol w:w="593"/>
        <w:gridCol w:w="593"/>
      </w:tblGrid>
      <w:tr w:rsidR="001A63B6" w14:paraId="1B34E534" w14:textId="77777777" w:rsidTr="00C857DE">
        <w:tc>
          <w:tcPr>
            <w:tcW w:w="608" w:type="dxa"/>
          </w:tcPr>
          <w:p w14:paraId="295C9787" w14:textId="77777777" w:rsidR="001A63B6" w:rsidRPr="00330AB1" w:rsidRDefault="001A63B6" w:rsidP="001A63B6">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单位类别</w:t>
            </w:r>
          </w:p>
        </w:tc>
        <w:tc>
          <w:tcPr>
            <w:tcW w:w="608" w:type="dxa"/>
          </w:tcPr>
          <w:p w14:paraId="602DCDCA" w14:textId="77777777" w:rsidR="001A63B6" w:rsidRPr="00330AB1" w:rsidRDefault="001A63B6" w:rsidP="001A63B6">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党政机关</w:t>
            </w:r>
          </w:p>
        </w:tc>
        <w:tc>
          <w:tcPr>
            <w:tcW w:w="608" w:type="dxa"/>
          </w:tcPr>
          <w:p w14:paraId="583C9D9E" w14:textId="77777777" w:rsidR="001A63B6" w:rsidRPr="00330AB1" w:rsidRDefault="001A63B6" w:rsidP="001A63B6">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高等教育单位</w:t>
            </w:r>
          </w:p>
        </w:tc>
        <w:tc>
          <w:tcPr>
            <w:tcW w:w="608" w:type="dxa"/>
          </w:tcPr>
          <w:p w14:paraId="28778B12" w14:textId="77777777" w:rsidR="001A63B6" w:rsidRPr="00330AB1" w:rsidRDefault="001A63B6" w:rsidP="001A63B6">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中初等教育单位</w:t>
            </w:r>
          </w:p>
        </w:tc>
        <w:tc>
          <w:tcPr>
            <w:tcW w:w="609" w:type="dxa"/>
          </w:tcPr>
          <w:p w14:paraId="0D1EEEC2" w14:textId="77777777" w:rsidR="001A63B6" w:rsidRPr="00330AB1" w:rsidRDefault="001A63B6" w:rsidP="001A63B6">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科研设计单位</w:t>
            </w:r>
          </w:p>
        </w:tc>
        <w:tc>
          <w:tcPr>
            <w:tcW w:w="609" w:type="dxa"/>
          </w:tcPr>
          <w:p w14:paraId="76BA4B4F" w14:textId="77777777" w:rsidR="001A63B6" w:rsidRPr="00330AB1" w:rsidRDefault="001A63B6" w:rsidP="001A63B6">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医疗卫生单位</w:t>
            </w:r>
          </w:p>
        </w:tc>
        <w:tc>
          <w:tcPr>
            <w:tcW w:w="609" w:type="dxa"/>
          </w:tcPr>
          <w:p w14:paraId="63E816CC" w14:textId="77777777" w:rsidR="001A63B6" w:rsidRPr="00330AB1" w:rsidRDefault="001A63B6" w:rsidP="001A63B6">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其他事业单位</w:t>
            </w:r>
          </w:p>
        </w:tc>
        <w:tc>
          <w:tcPr>
            <w:tcW w:w="609" w:type="dxa"/>
          </w:tcPr>
          <w:p w14:paraId="59BF8F1D" w14:textId="77777777" w:rsidR="001A63B6" w:rsidRPr="00330AB1" w:rsidRDefault="001A63B6" w:rsidP="001A63B6">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国有企业</w:t>
            </w:r>
          </w:p>
        </w:tc>
        <w:tc>
          <w:tcPr>
            <w:tcW w:w="609" w:type="dxa"/>
          </w:tcPr>
          <w:p w14:paraId="24E220CE" w14:textId="77777777" w:rsidR="001A63B6" w:rsidRPr="00330AB1" w:rsidRDefault="001A63B6" w:rsidP="001A63B6">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民营企业</w:t>
            </w:r>
          </w:p>
        </w:tc>
        <w:tc>
          <w:tcPr>
            <w:tcW w:w="609" w:type="dxa"/>
          </w:tcPr>
          <w:p w14:paraId="12114D70" w14:textId="77777777" w:rsidR="001A63B6" w:rsidRPr="00330AB1" w:rsidRDefault="001A63B6" w:rsidP="001A63B6">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三资企业</w:t>
            </w:r>
          </w:p>
        </w:tc>
        <w:tc>
          <w:tcPr>
            <w:tcW w:w="609" w:type="dxa"/>
          </w:tcPr>
          <w:p w14:paraId="3CD489EB" w14:textId="77777777" w:rsidR="001A63B6" w:rsidRPr="00330AB1" w:rsidRDefault="001A63B6" w:rsidP="001A63B6">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部队</w:t>
            </w:r>
          </w:p>
        </w:tc>
        <w:tc>
          <w:tcPr>
            <w:tcW w:w="609" w:type="dxa"/>
          </w:tcPr>
          <w:p w14:paraId="40BBDA1B" w14:textId="77777777" w:rsidR="001A63B6" w:rsidRPr="00330AB1" w:rsidRDefault="001A63B6" w:rsidP="001A63B6">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自主创业</w:t>
            </w:r>
          </w:p>
        </w:tc>
        <w:tc>
          <w:tcPr>
            <w:tcW w:w="609" w:type="dxa"/>
          </w:tcPr>
          <w:p w14:paraId="01AB2091" w14:textId="77777777" w:rsidR="001A63B6" w:rsidRPr="00330AB1" w:rsidRDefault="001A63B6" w:rsidP="001A63B6">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升学</w:t>
            </w:r>
          </w:p>
        </w:tc>
        <w:tc>
          <w:tcPr>
            <w:tcW w:w="609" w:type="dxa"/>
          </w:tcPr>
          <w:p w14:paraId="1D0D1D97" w14:textId="77777777" w:rsidR="001A63B6" w:rsidRPr="00330AB1" w:rsidRDefault="001A63B6" w:rsidP="001A63B6">
            <w:pPr>
              <w:pStyle w:val="Default"/>
              <w:jc w:val="center"/>
              <w:rPr>
                <w:rFonts w:ascii="宋体" w:eastAsia="宋体" w:hAnsi="宋体" w:cs="宋体"/>
                <w:b/>
                <w:bCs/>
                <w:color w:val="auto"/>
                <w:sz w:val="21"/>
                <w:szCs w:val="21"/>
              </w:rPr>
            </w:pPr>
            <w:r w:rsidRPr="00330AB1">
              <w:rPr>
                <w:rFonts w:ascii="宋体" w:eastAsia="宋体" w:hAnsi="宋体" w:cs="宋体" w:hint="eastAsia"/>
                <w:b/>
                <w:bCs/>
                <w:color w:val="auto"/>
                <w:sz w:val="21"/>
                <w:szCs w:val="21"/>
              </w:rPr>
              <w:t>其他</w:t>
            </w:r>
          </w:p>
        </w:tc>
      </w:tr>
      <w:tr w:rsidR="001A63B6" w14:paraId="359C5D64" w14:textId="77777777" w:rsidTr="00C857DE">
        <w:tc>
          <w:tcPr>
            <w:tcW w:w="608" w:type="dxa"/>
          </w:tcPr>
          <w:p w14:paraId="5749C0F9" w14:textId="77777777" w:rsidR="001A63B6" w:rsidRPr="00330AB1" w:rsidRDefault="001A63B6" w:rsidP="001A63B6">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人数</w:t>
            </w:r>
          </w:p>
        </w:tc>
        <w:tc>
          <w:tcPr>
            <w:tcW w:w="608" w:type="dxa"/>
          </w:tcPr>
          <w:p w14:paraId="437CFC6E" w14:textId="40BCF719" w:rsidR="001A63B6" w:rsidRPr="00330AB1" w:rsidRDefault="00F14566" w:rsidP="001A63B6">
            <w:pPr>
              <w:pStyle w:val="Default"/>
              <w:jc w:val="center"/>
              <w:rPr>
                <w:rFonts w:ascii="宋体" w:eastAsia="宋体" w:hAnsi="宋体" w:cs="宋体"/>
                <w:color w:val="auto"/>
                <w:sz w:val="21"/>
                <w:szCs w:val="21"/>
              </w:rPr>
            </w:pPr>
            <w:r>
              <w:rPr>
                <w:rFonts w:ascii="宋体" w:eastAsia="宋体" w:hAnsi="宋体" w:cs="宋体" w:hint="eastAsia"/>
                <w:color w:val="auto"/>
                <w:sz w:val="21"/>
                <w:szCs w:val="21"/>
              </w:rPr>
              <w:t>0</w:t>
            </w:r>
          </w:p>
        </w:tc>
        <w:tc>
          <w:tcPr>
            <w:tcW w:w="608" w:type="dxa"/>
          </w:tcPr>
          <w:p w14:paraId="2CECD7FC" w14:textId="77777777" w:rsidR="001A63B6" w:rsidRPr="00330AB1" w:rsidRDefault="001A63B6" w:rsidP="001A63B6">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0</w:t>
            </w:r>
          </w:p>
        </w:tc>
        <w:tc>
          <w:tcPr>
            <w:tcW w:w="608" w:type="dxa"/>
          </w:tcPr>
          <w:p w14:paraId="1526B817" w14:textId="77777777" w:rsidR="001A63B6" w:rsidRPr="00330AB1" w:rsidRDefault="001A63B6" w:rsidP="001A63B6">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0</w:t>
            </w:r>
          </w:p>
        </w:tc>
        <w:tc>
          <w:tcPr>
            <w:tcW w:w="609" w:type="dxa"/>
          </w:tcPr>
          <w:p w14:paraId="09710028" w14:textId="08A27DD7" w:rsidR="001A63B6" w:rsidRPr="00330AB1" w:rsidRDefault="00F14566" w:rsidP="001A63B6">
            <w:pPr>
              <w:pStyle w:val="Default"/>
              <w:jc w:val="center"/>
              <w:rPr>
                <w:rFonts w:ascii="宋体" w:eastAsia="宋体" w:hAnsi="宋体" w:cs="宋体"/>
                <w:color w:val="auto"/>
                <w:sz w:val="21"/>
                <w:szCs w:val="21"/>
              </w:rPr>
            </w:pPr>
            <w:r>
              <w:rPr>
                <w:rFonts w:ascii="宋体" w:eastAsia="宋体" w:hAnsi="宋体" w:cs="宋体" w:hint="eastAsia"/>
                <w:color w:val="auto"/>
                <w:sz w:val="21"/>
                <w:szCs w:val="21"/>
              </w:rPr>
              <w:t>1</w:t>
            </w:r>
          </w:p>
        </w:tc>
        <w:tc>
          <w:tcPr>
            <w:tcW w:w="609" w:type="dxa"/>
          </w:tcPr>
          <w:p w14:paraId="4F1FC20B" w14:textId="77777777" w:rsidR="001A63B6" w:rsidRPr="00330AB1" w:rsidRDefault="001A63B6" w:rsidP="001A63B6">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0</w:t>
            </w:r>
          </w:p>
        </w:tc>
        <w:tc>
          <w:tcPr>
            <w:tcW w:w="609" w:type="dxa"/>
          </w:tcPr>
          <w:p w14:paraId="1063ECBA" w14:textId="23C6C5BD" w:rsidR="001A63B6" w:rsidRPr="00330AB1" w:rsidRDefault="00F14566" w:rsidP="001A63B6">
            <w:pPr>
              <w:pStyle w:val="Default"/>
              <w:jc w:val="center"/>
              <w:rPr>
                <w:rFonts w:ascii="宋体" w:eastAsia="宋体" w:hAnsi="宋体" w:cs="宋体"/>
                <w:color w:val="auto"/>
                <w:sz w:val="21"/>
                <w:szCs w:val="21"/>
              </w:rPr>
            </w:pPr>
            <w:r>
              <w:rPr>
                <w:rFonts w:ascii="宋体" w:eastAsia="宋体" w:hAnsi="宋体" w:cs="宋体" w:hint="eastAsia"/>
                <w:color w:val="auto"/>
                <w:sz w:val="21"/>
                <w:szCs w:val="21"/>
              </w:rPr>
              <w:t>1</w:t>
            </w:r>
          </w:p>
        </w:tc>
        <w:tc>
          <w:tcPr>
            <w:tcW w:w="609" w:type="dxa"/>
          </w:tcPr>
          <w:p w14:paraId="647D4F0B" w14:textId="62789EB6" w:rsidR="001A63B6" w:rsidRPr="00330AB1" w:rsidRDefault="001A63B6" w:rsidP="001A63B6">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1</w:t>
            </w:r>
            <w:r w:rsidR="00F14566">
              <w:rPr>
                <w:rFonts w:ascii="宋体" w:eastAsia="宋体" w:hAnsi="宋体" w:cs="宋体" w:hint="eastAsia"/>
                <w:color w:val="auto"/>
                <w:sz w:val="21"/>
                <w:szCs w:val="21"/>
              </w:rPr>
              <w:t>6</w:t>
            </w:r>
          </w:p>
        </w:tc>
        <w:tc>
          <w:tcPr>
            <w:tcW w:w="609" w:type="dxa"/>
          </w:tcPr>
          <w:p w14:paraId="364E5108" w14:textId="736D396E" w:rsidR="001A63B6" w:rsidRPr="00330AB1" w:rsidRDefault="00F14566" w:rsidP="001A63B6">
            <w:pPr>
              <w:pStyle w:val="Default"/>
              <w:jc w:val="center"/>
              <w:rPr>
                <w:rFonts w:ascii="宋体" w:eastAsia="宋体" w:hAnsi="宋体" w:cs="宋体"/>
                <w:color w:val="auto"/>
                <w:sz w:val="21"/>
                <w:szCs w:val="21"/>
              </w:rPr>
            </w:pPr>
            <w:r>
              <w:rPr>
                <w:rFonts w:ascii="宋体" w:eastAsia="宋体" w:hAnsi="宋体" w:cs="宋体" w:hint="eastAsia"/>
                <w:color w:val="auto"/>
                <w:sz w:val="21"/>
                <w:szCs w:val="21"/>
              </w:rPr>
              <w:t>1</w:t>
            </w:r>
            <w:r>
              <w:rPr>
                <w:rFonts w:ascii="宋体" w:eastAsia="宋体" w:hAnsi="宋体" w:cs="宋体" w:hint="eastAsia"/>
                <w:sz w:val="21"/>
                <w:szCs w:val="21"/>
              </w:rPr>
              <w:t>0</w:t>
            </w:r>
          </w:p>
        </w:tc>
        <w:tc>
          <w:tcPr>
            <w:tcW w:w="609" w:type="dxa"/>
          </w:tcPr>
          <w:p w14:paraId="7587794B" w14:textId="77777777" w:rsidR="001A63B6" w:rsidRPr="00330AB1" w:rsidRDefault="001A63B6" w:rsidP="001A63B6">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0</w:t>
            </w:r>
          </w:p>
        </w:tc>
        <w:tc>
          <w:tcPr>
            <w:tcW w:w="609" w:type="dxa"/>
          </w:tcPr>
          <w:p w14:paraId="694526D5" w14:textId="77777777" w:rsidR="001A63B6" w:rsidRPr="00330AB1" w:rsidRDefault="001A63B6" w:rsidP="001A63B6">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0</w:t>
            </w:r>
          </w:p>
        </w:tc>
        <w:tc>
          <w:tcPr>
            <w:tcW w:w="609" w:type="dxa"/>
          </w:tcPr>
          <w:p w14:paraId="1CEFAB7F" w14:textId="77777777" w:rsidR="001A63B6" w:rsidRPr="00330AB1" w:rsidRDefault="001A63B6" w:rsidP="001A63B6">
            <w:pPr>
              <w:pStyle w:val="Default"/>
              <w:jc w:val="center"/>
              <w:rPr>
                <w:rFonts w:ascii="宋体" w:eastAsia="宋体" w:hAnsi="宋体" w:cs="宋体"/>
                <w:color w:val="auto"/>
                <w:sz w:val="21"/>
                <w:szCs w:val="21"/>
              </w:rPr>
            </w:pPr>
            <w:r w:rsidRPr="00330AB1">
              <w:rPr>
                <w:rFonts w:ascii="宋体" w:eastAsia="宋体" w:hAnsi="宋体" w:cs="宋体" w:hint="eastAsia"/>
                <w:color w:val="auto"/>
                <w:sz w:val="21"/>
                <w:szCs w:val="21"/>
              </w:rPr>
              <w:t>0</w:t>
            </w:r>
          </w:p>
        </w:tc>
        <w:tc>
          <w:tcPr>
            <w:tcW w:w="609" w:type="dxa"/>
          </w:tcPr>
          <w:p w14:paraId="3192F31D" w14:textId="200AC9CD" w:rsidR="001A63B6" w:rsidRPr="00330AB1" w:rsidRDefault="00F14566" w:rsidP="001A63B6">
            <w:pPr>
              <w:pStyle w:val="Default"/>
              <w:jc w:val="center"/>
              <w:rPr>
                <w:rFonts w:ascii="宋体" w:eastAsia="宋体" w:hAnsi="宋体" w:cs="宋体"/>
                <w:color w:val="auto"/>
                <w:sz w:val="21"/>
                <w:szCs w:val="21"/>
              </w:rPr>
            </w:pPr>
            <w:r>
              <w:rPr>
                <w:rFonts w:ascii="宋体" w:eastAsia="宋体" w:hAnsi="宋体" w:cs="宋体" w:hint="eastAsia"/>
                <w:color w:val="auto"/>
                <w:sz w:val="21"/>
                <w:szCs w:val="21"/>
              </w:rPr>
              <w:t>0</w:t>
            </w:r>
          </w:p>
        </w:tc>
        <w:tc>
          <w:tcPr>
            <w:tcW w:w="609" w:type="dxa"/>
          </w:tcPr>
          <w:p w14:paraId="6D85806A" w14:textId="06C651A1" w:rsidR="001A63B6" w:rsidRPr="00330AB1" w:rsidRDefault="00F14566" w:rsidP="001A63B6">
            <w:pPr>
              <w:pStyle w:val="Default"/>
              <w:jc w:val="center"/>
              <w:rPr>
                <w:rFonts w:ascii="宋体" w:eastAsia="宋体" w:hAnsi="宋体" w:cs="宋体"/>
                <w:color w:val="auto"/>
                <w:sz w:val="21"/>
                <w:szCs w:val="21"/>
              </w:rPr>
            </w:pPr>
            <w:r>
              <w:rPr>
                <w:rFonts w:ascii="宋体" w:eastAsia="宋体" w:hAnsi="宋体" w:cs="宋体" w:hint="eastAsia"/>
                <w:color w:val="auto"/>
                <w:sz w:val="21"/>
                <w:szCs w:val="21"/>
              </w:rPr>
              <w:t>6</w:t>
            </w:r>
          </w:p>
        </w:tc>
      </w:tr>
    </w:tbl>
    <w:p w14:paraId="23F9A5B2" w14:textId="77777777" w:rsidR="00CC059E" w:rsidRDefault="00CC059E">
      <w:pPr>
        <w:pStyle w:val="Default"/>
        <w:ind w:firstLine="560"/>
        <w:rPr>
          <w:rFonts w:ascii="宋体" w:eastAsia="宋体" w:hAnsi="宋体" w:cs="宋体"/>
          <w:color w:val="auto"/>
          <w:sz w:val="28"/>
          <w:szCs w:val="28"/>
        </w:rPr>
      </w:pPr>
    </w:p>
    <w:p w14:paraId="3B5664FF" w14:textId="77777777" w:rsidR="00CC059E" w:rsidRDefault="005B731A">
      <w:pPr>
        <w:pStyle w:val="2"/>
        <w:ind w:firstLine="643"/>
      </w:pPr>
      <w:r>
        <w:rPr>
          <w:rFonts w:hint="eastAsia"/>
        </w:rPr>
        <w:t>四、服务贡献</w:t>
      </w:r>
    </w:p>
    <w:p w14:paraId="7C6D617A" w14:textId="77777777" w:rsidR="00CC059E" w:rsidRDefault="005B731A">
      <w:pPr>
        <w:pStyle w:val="3"/>
        <w:ind w:firstLine="643"/>
      </w:pPr>
      <w:r>
        <w:rPr>
          <w:rFonts w:hint="eastAsia"/>
        </w:rPr>
        <w:t>4</w:t>
      </w:r>
      <w:r>
        <w:t>.1</w:t>
      </w:r>
      <w:r>
        <w:rPr>
          <w:rFonts w:hint="eastAsia"/>
        </w:rPr>
        <w:t>科技进步</w:t>
      </w:r>
    </w:p>
    <w:p w14:paraId="0B41732B" w14:textId="77777777" w:rsidR="00CC059E" w:rsidRDefault="005B731A">
      <w:pPr>
        <w:pStyle w:val="Default"/>
        <w:ind w:firstLineChars="200" w:firstLine="560"/>
        <w:rPr>
          <w:rStyle w:val="a8"/>
          <w:rFonts w:ascii="等线" w:eastAsia="宋体" w:hAnsi="等线"/>
          <w:color w:val="auto"/>
          <w:kern w:val="2"/>
        </w:rPr>
      </w:pPr>
      <w:r>
        <w:rPr>
          <w:rFonts w:ascii="宋体" w:eastAsia="宋体" w:hAnsi="宋体" w:cs="宋体" w:hint="eastAsia"/>
          <w:color w:val="auto"/>
          <w:sz w:val="28"/>
          <w:szCs w:val="28"/>
        </w:rPr>
        <w:t>2023</w:t>
      </w:r>
      <w:r>
        <w:rPr>
          <w:rFonts w:ascii="宋体" w:eastAsia="宋体" w:hAnsi="宋体" w:cs="宋体" w:hint="eastAsia"/>
          <w:color w:val="auto"/>
          <w:sz w:val="28"/>
          <w:szCs w:val="28"/>
        </w:rPr>
        <w:t>年教师在“新型建筑工业化与装配式”、“建筑遗产保护与利用”、“绿色低碳建筑与评价”、“城市更新与乡村振兴”四个学科方向上发表各类期刊会议论文共计近</w:t>
      </w:r>
      <w:r>
        <w:rPr>
          <w:rFonts w:ascii="宋体" w:eastAsia="宋体" w:hAnsi="宋体" w:cs="宋体" w:hint="eastAsia"/>
          <w:color w:val="auto"/>
          <w:sz w:val="28"/>
          <w:szCs w:val="28"/>
        </w:rPr>
        <w:t>19</w:t>
      </w:r>
      <w:r>
        <w:rPr>
          <w:rFonts w:ascii="宋体" w:eastAsia="宋体" w:hAnsi="宋体" w:cs="宋体" w:hint="eastAsia"/>
          <w:color w:val="auto"/>
          <w:sz w:val="28"/>
          <w:szCs w:val="28"/>
        </w:rPr>
        <w:t>篇；获批各类纵向及横向科研项目</w:t>
      </w:r>
      <w:r>
        <w:rPr>
          <w:rFonts w:ascii="宋体" w:eastAsia="宋体" w:hAnsi="宋体" w:cs="宋体" w:hint="eastAsia"/>
          <w:color w:val="auto"/>
          <w:sz w:val="28"/>
          <w:szCs w:val="28"/>
        </w:rPr>
        <w:t>32</w:t>
      </w:r>
      <w:r>
        <w:rPr>
          <w:rFonts w:ascii="宋体" w:eastAsia="宋体" w:hAnsi="宋体" w:cs="宋体" w:hint="eastAsia"/>
          <w:color w:val="auto"/>
          <w:sz w:val="28"/>
          <w:szCs w:val="28"/>
        </w:rPr>
        <w:t>项。</w:t>
      </w:r>
    </w:p>
    <w:p w14:paraId="68EBF72F" w14:textId="77777777" w:rsidR="00CC059E" w:rsidRDefault="005B731A">
      <w:pPr>
        <w:pStyle w:val="3"/>
        <w:ind w:firstLine="643"/>
      </w:pPr>
      <w:r>
        <w:rPr>
          <w:rFonts w:hint="eastAsia"/>
        </w:rPr>
        <w:t>4</w:t>
      </w:r>
      <w:r>
        <w:t>.2</w:t>
      </w:r>
      <w:r>
        <w:rPr>
          <w:rFonts w:hint="eastAsia"/>
        </w:rPr>
        <w:t>经济发展</w:t>
      </w:r>
    </w:p>
    <w:p w14:paraId="3F76B99D" w14:textId="77777777" w:rsidR="00CC059E" w:rsidRDefault="005B731A">
      <w:pPr>
        <w:widowControl/>
        <w:shd w:val="clear" w:color="auto" w:fill="FFFFFF"/>
        <w:ind w:firstLineChars="200" w:firstLine="560"/>
        <w:jc w:val="left"/>
        <w:rPr>
          <w:rFonts w:ascii="宋体" w:hAnsi="宋体"/>
        </w:rPr>
      </w:pPr>
      <w:r>
        <w:rPr>
          <w:rFonts w:ascii="宋体" w:hAnsi="宋体" w:hint="eastAsia"/>
        </w:rPr>
        <w:t>2023</w:t>
      </w:r>
      <w:r>
        <w:rPr>
          <w:rFonts w:ascii="宋体" w:hAnsi="宋体" w:hint="eastAsia"/>
        </w:rPr>
        <w:t>年，</w:t>
      </w:r>
      <w:r>
        <w:rPr>
          <w:rFonts w:ascii="宋体" w:hAnsi="宋体" w:cs="宋体" w:hint="eastAsia"/>
          <w:szCs w:val="28"/>
        </w:rPr>
        <w:t>在“新型建筑工业化与装配式”、“建筑遗产保护与利用”、“绿色低碳建筑与评价”、“城市更新与乡村振兴”四个学科方向上</w:t>
      </w:r>
      <w:r>
        <w:rPr>
          <w:rFonts w:ascii="宋体" w:hAnsi="宋体" w:hint="eastAsia"/>
        </w:rPr>
        <w:t>立项横向课题</w:t>
      </w:r>
      <w:r>
        <w:rPr>
          <w:rFonts w:ascii="宋体" w:hAnsi="宋体" w:hint="eastAsia"/>
        </w:rPr>
        <w:t>21</w:t>
      </w:r>
      <w:r>
        <w:rPr>
          <w:rFonts w:ascii="宋体" w:hAnsi="宋体" w:hint="eastAsia"/>
        </w:rPr>
        <w:t>项，课题合同经费累计</w:t>
      </w:r>
      <w:r>
        <w:rPr>
          <w:rFonts w:ascii="宋体" w:hAnsi="宋体" w:hint="eastAsia"/>
        </w:rPr>
        <w:t>1420</w:t>
      </w:r>
      <w:r>
        <w:rPr>
          <w:rFonts w:ascii="宋体" w:hAnsi="宋体" w:hint="eastAsia"/>
        </w:rPr>
        <w:t>万余元，助力天津乡村振兴、生态城市、城市更新等领域的建设与发展。</w:t>
      </w:r>
    </w:p>
    <w:p w14:paraId="48BB9952" w14:textId="77777777" w:rsidR="00CC059E" w:rsidRDefault="005B731A">
      <w:pPr>
        <w:pStyle w:val="3"/>
        <w:ind w:firstLine="643"/>
      </w:pPr>
      <w:r>
        <w:rPr>
          <w:rFonts w:hint="eastAsia"/>
        </w:rPr>
        <w:lastRenderedPageBreak/>
        <w:t>4</w:t>
      </w:r>
      <w:r>
        <w:t>.3</w:t>
      </w:r>
      <w:r>
        <w:rPr>
          <w:rFonts w:hint="eastAsia"/>
        </w:rPr>
        <w:t>文化建设</w:t>
      </w:r>
    </w:p>
    <w:p w14:paraId="5FF5BE19" w14:textId="23D1D745" w:rsidR="00CC059E" w:rsidRDefault="005B731A">
      <w:pPr>
        <w:pStyle w:val="Default"/>
        <w:ind w:firstLineChars="200" w:firstLine="560"/>
        <w:rPr>
          <w:rFonts w:ascii="宋体" w:hAnsi="宋体"/>
        </w:rPr>
      </w:pPr>
      <w:r>
        <w:rPr>
          <w:rFonts w:ascii="宋体" w:eastAsia="宋体" w:hAnsi="宋体" w:hint="eastAsia"/>
          <w:sz w:val="28"/>
          <w:szCs w:val="28"/>
        </w:rPr>
        <w:t>繁荣校园文化，打造品牌活动</w:t>
      </w:r>
      <w:r>
        <w:rPr>
          <w:rFonts w:ascii="宋体" w:eastAsia="宋体" w:hAnsi="宋体" w:hint="eastAsia"/>
          <w:sz w:val="28"/>
          <w:szCs w:val="28"/>
        </w:rPr>
        <w:t xml:space="preserve"> </w:t>
      </w:r>
      <w:r>
        <w:rPr>
          <w:rFonts w:ascii="宋体" w:eastAsia="宋体" w:hAnsi="宋体" w:hint="eastAsia"/>
          <w:sz w:val="28"/>
          <w:szCs w:val="28"/>
        </w:rPr>
        <w:t>巩固现有校园文化层次和水平，积极培育、挖掘新的可建设的学生活动，结合党的二十大和专业发展趋势，通过举办讲座、毕业生作品展、毕业季汇报、院庆活动等一系列体现时代性、参与性、专业性的文化活动，鼓励学生积极参与相关活动，提高学生的专业素养，传播弘扬爱校荣校主旋律，提高建筑学子的专业素养，凝练建筑文化精神。结合重大纪念日等契机，开展“传承红色基因”“建筑青年有话说”等</w:t>
      </w:r>
      <w:r w:rsidR="00590E3A">
        <w:rPr>
          <w:rFonts w:ascii="宋体" w:eastAsia="宋体" w:hAnsi="宋体" w:hint="eastAsia"/>
          <w:sz w:val="28"/>
          <w:szCs w:val="28"/>
        </w:rPr>
        <w:t>主题教育</w:t>
      </w:r>
      <w:r>
        <w:rPr>
          <w:rFonts w:ascii="宋体" w:eastAsia="宋体" w:hAnsi="宋体" w:hint="eastAsia"/>
          <w:sz w:val="28"/>
          <w:szCs w:val="28"/>
        </w:rPr>
        <w:t>，大力繁荣校园文化，创新校园文化品牌。</w:t>
      </w:r>
    </w:p>
    <w:p w14:paraId="718AA0B7" w14:textId="77777777" w:rsidR="00CC059E" w:rsidRDefault="005B731A">
      <w:pPr>
        <w:pStyle w:val="2"/>
        <w:ind w:firstLine="643"/>
      </w:pPr>
      <w:r>
        <w:rPr>
          <w:rFonts w:hint="eastAsia"/>
        </w:rPr>
        <w:t>五、学位点建设存在的问题及建设规划</w:t>
      </w:r>
    </w:p>
    <w:p w14:paraId="6E44924D" w14:textId="77777777" w:rsidR="00CC059E" w:rsidRDefault="005B731A">
      <w:pPr>
        <w:pStyle w:val="3"/>
        <w:ind w:firstLine="643"/>
      </w:pPr>
      <w:r>
        <w:rPr>
          <w:rFonts w:hint="eastAsia"/>
        </w:rPr>
        <w:t>5</w:t>
      </w:r>
      <w:r>
        <w:t>.1</w:t>
      </w:r>
      <w:r>
        <w:rPr>
          <w:rFonts w:hint="eastAsia"/>
        </w:rPr>
        <w:t>学位点存在的问题</w:t>
      </w:r>
    </w:p>
    <w:p w14:paraId="57AD7DB2" w14:textId="77777777" w:rsidR="00CC059E" w:rsidRDefault="005B731A">
      <w:pPr>
        <w:pStyle w:val="Default"/>
        <w:ind w:firstLineChars="250" w:firstLine="700"/>
        <w:rPr>
          <w:color w:val="auto"/>
        </w:rPr>
      </w:pPr>
      <w:r>
        <w:rPr>
          <w:rFonts w:ascii="宋体" w:eastAsia="宋体" w:hAnsi="宋体" w:cs="宋体" w:hint="eastAsia"/>
          <w:color w:val="auto"/>
          <w:sz w:val="28"/>
          <w:szCs w:val="28"/>
        </w:rPr>
        <w:t>学校组织了有关</w:t>
      </w:r>
      <w:r>
        <w:rPr>
          <w:rFonts w:ascii="宋体" w:eastAsia="宋体" w:hAnsi="宋体" w:cs="宋体" w:hint="eastAsia"/>
          <w:color w:val="auto"/>
          <w:sz w:val="28"/>
          <w:szCs w:val="28"/>
        </w:rPr>
        <w:t>专家对于本学位点实际情况进行了自我评价，经过专家组评审，</w:t>
      </w:r>
      <w:r>
        <w:rPr>
          <w:rFonts w:eastAsia="宋体"/>
          <w:color w:val="auto"/>
          <w:sz w:val="28"/>
          <w:szCs w:val="28"/>
        </w:rPr>
        <w:t>目前学位点存在的主要问题</w:t>
      </w:r>
      <w:r>
        <w:rPr>
          <w:rFonts w:eastAsia="宋体" w:hint="eastAsia"/>
          <w:color w:val="auto"/>
          <w:sz w:val="28"/>
          <w:szCs w:val="28"/>
        </w:rPr>
        <w:t>为</w:t>
      </w:r>
      <w:r>
        <w:rPr>
          <w:rFonts w:eastAsia="宋体"/>
          <w:color w:val="auto"/>
          <w:sz w:val="28"/>
          <w:szCs w:val="28"/>
        </w:rPr>
        <w:t>：</w:t>
      </w:r>
    </w:p>
    <w:p w14:paraId="35BBFAE5" w14:textId="77777777" w:rsidR="00CC059E" w:rsidRDefault="005B731A">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w:t>
      </w:r>
      <w:r>
        <w:rPr>
          <w:rFonts w:ascii="宋体" w:eastAsia="宋体" w:hAnsi="宋体" w:cs="宋体" w:hint="eastAsia"/>
          <w:color w:val="auto"/>
          <w:sz w:val="28"/>
          <w:szCs w:val="28"/>
        </w:rPr>
        <w:t>1</w:t>
      </w:r>
      <w:r>
        <w:rPr>
          <w:rFonts w:ascii="宋体" w:eastAsia="宋体" w:hAnsi="宋体" w:cs="宋体" w:hint="eastAsia"/>
          <w:color w:val="auto"/>
          <w:sz w:val="28"/>
          <w:szCs w:val="28"/>
        </w:rPr>
        <w:t>）标志性成果以及科研获奖较少，如承担国家级科研项目的级别有待提高，高水平学术著作、论文不多；</w:t>
      </w:r>
    </w:p>
    <w:p w14:paraId="0794E5E2" w14:textId="77777777" w:rsidR="00CC059E" w:rsidRDefault="005B731A">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w:t>
      </w:r>
      <w:r>
        <w:rPr>
          <w:rFonts w:ascii="宋体" w:eastAsia="宋体" w:hAnsi="宋体" w:cs="宋体"/>
          <w:color w:val="auto"/>
          <w:sz w:val="28"/>
          <w:szCs w:val="28"/>
        </w:rPr>
        <w:t>2</w:t>
      </w:r>
      <w:r>
        <w:rPr>
          <w:rFonts w:ascii="宋体" w:eastAsia="宋体" w:hAnsi="宋体" w:cs="宋体" w:hint="eastAsia"/>
          <w:color w:val="auto"/>
          <w:sz w:val="28"/>
          <w:szCs w:val="28"/>
        </w:rPr>
        <w:t>）</w:t>
      </w:r>
      <w:r>
        <w:rPr>
          <w:rFonts w:ascii="宋体" w:eastAsia="宋体" w:hAnsi="宋体" w:cs="宋体"/>
          <w:color w:val="auto"/>
          <w:sz w:val="28"/>
          <w:szCs w:val="28"/>
        </w:rPr>
        <w:t xml:space="preserve"> </w:t>
      </w:r>
      <w:r>
        <w:rPr>
          <w:rFonts w:ascii="宋体" w:eastAsia="宋体" w:hAnsi="宋体" w:cs="宋体" w:hint="eastAsia"/>
          <w:color w:val="auto"/>
          <w:sz w:val="28"/>
          <w:szCs w:val="28"/>
        </w:rPr>
        <w:t>学生应用及实践能力的培养还需进一步加强；毕业论文（设计）的改革还需进一步深入和强化；研究生培养过程中，需要进一步加强校企合作，通过联合指导设计或论文；企业实习实践等形式，强化人才培养的实践能力与应用能力；</w:t>
      </w:r>
    </w:p>
    <w:p w14:paraId="7643B589" w14:textId="77777777" w:rsidR="00CC059E" w:rsidRDefault="005B731A">
      <w:pPr>
        <w:pStyle w:val="Default"/>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w:t>
      </w:r>
      <w:r>
        <w:rPr>
          <w:rFonts w:ascii="宋体" w:eastAsia="宋体" w:hAnsi="宋体" w:cs="宋体" w:hint="eastAsia"/>
          <w:color w:val="auto"/>
          <w:sz w:val="28"/>
          <w:szCs w:val="28"/>
        </w:rPr>
        <w:t>3</w:t>
      </w:r>
      <w:r>
        <w:rPr>
          <w:rFonts w:ascii="宋体" w:eastAsia="宋体" w:hAnsi="宋体" w:cs="宋体" w:hint="eastAsia"/>
          <w:color w:val="auto"/>
          <w:sz w:val="28"/>
          <w:szCs w:val="28"/>
        </w:rPr>
        <w:t>）教学空间需要进一步整合与提升，以满足不断扩大的招生</w:t>
      </w:r>
      <w:r>
        <w:rPr>
          <w:rFonts w:ascii="宋体" w:eastAsia="宋体" w:hAnsi="宋体" w:cs="宋体" w:hint="eastAsia"/>
          <w:color w:val="auto"/>
          <w:sz w:val="28"/>
          <w:szCs w:val="28"/>
        </w:rPr>
        <w:lastRenderedPageBreak/>
        <w:t>办学规模。</w:t>
      </w:r>
    </w:p>
    <w:p w14:paraId="1E984FF1" w14:textId="77777777" w:rsidR="00CC059E" w:rsidRDefault="005B731A">
      <w:pPr>
        <w:pStyle w:val="3"/>
        <w:ind w:firstLine="643"/>
      </w:pPr>
      <w:r>
        <w:rPr>
          <w:rFonts w:hint="eastAsia"/>
        </w:rPr>
        <w:t>5</w:t>
      </w:r>
      <w:r>
        <w:t>.2</w:t>
      </w:r>
      <w:r>
        <w:rPr>
          <w:rFonts w:hint="eastAsia"/>
        </w:rPr>
        <w:t>学位点建设规划</w:t>
      </w:r>
    </w:p>
    <w:p w14:paraId="543F9E1A" w14:textId="77777777" w:rsidR="00CC059E" w:rsidRDefault="005B731A">
      <w:pPr>
        <w:pStyle w:val="Default"/>
        <w:ind w:firstLineChars="200" w:firstLine="560"/>
        <w:rPr>
          <w:rFonts w:ascii="宋体" w:eastAsia="宋体" w:hAnsi="宋体"/>
          <w:sz w:val="28"/>
          <w:szCs w:val="28"/>
        </w:rPr>
      </w:pPr>
      <w:r>
        <w:rPr>
          <w:rFonts w:ascii="宋体" w:eastAsia="宋体" w:hAnsi="宋体" w:hint="eastAsia"/>
          <w:sz w:val="28"/>
          <w:szCs w:val="28"/>
        </w:rPr>
        <w:t>（一）科学研究</w:t>
      </w:r>
    </w:p>
    <w:p w14:paraId="27A12536" w14:textId="77777777" w:rsidR="00CC059E" w:rsidRDefault="005B731A">
      <w:pPr>
        <w:pStyle w:val="Default"/>
        <w:ind w:firstLineChars="200" w:firstLine="560"/>
        <w:rPr>
          <w:rFonts w:ascii="宋体" w:eastAsia="宋体" w:hAnsi="宋体"/>
          <w:sz w:val="28"/>
          <w:szCs w:val="28"/>
        </w:rPr>
      </w:pPr>
      <w:r>
        <w:rPr>
          <w:rFonts w:ascii="宋体" w:eastAsia="宋体" w:hAnsi="宋体" w:hint="eastAsia"/>
          <w:sz w:val="28"/>
          <w:szCs w:val="28"/>
        </w:rPr>
        <w:t>进一步加</w:t>
      </w:r>
      <w:r>
        <w:rPr>
          <w:rFonts w:ascii="宋体" w:eastAsia="宋体" w:hAnsi="宋体" w:hint="eastAsia"/>
          <w:sz w:val="28"/>
          <w:szCs w:val="28"/>
        </w:rPr>
        <w:t>强制度建设，建立以服务科研活动、激发教师科研活力为中心的制度体系，充分发挥科研平台对人财物的汇聚优势。依托已有科研平台，搭建产教融合创新平台，重点围绕绿色建筑、遗产保护、建筑工业化、城市更新开展科学研究、人才培养与社会服务工作。</w:t>
      </w:r>
      <w:r>
        <w:rPr>
          <w:rFonts w:ascii="宋体" w:eastAsia="宋体" w:hAnsi="宋体"/>
          <w:sz w:val="28"/>
          <w:szCs w:val="28"/>
        </w:rPr>
        <w:t>加大对高水平、有影响力的科技成果的引导和支持力度，围绕学科和科研发展方向，重点支持高水平科技成果的产出。</w:t>
      </w:r>
      <w:r>
        <w:rPr>
          <w:rFonts w:ascii="宋体" w:eastAsia="宋体" w:hAnsi="宋体" w:hint="eastAsia"/>
          <w:sz w:val="28"/>
          <w:szCs w:val="28"/>
        </w:rPr>
        <w:t>在确保一定数量科技项目的基础上，力争承担影响力大、科技含量足的国家或地方重点、重大科技项目，不断提升学科影响力。</w:t>
      </w:r>
    </w:p>
    <w:p w14:paraId="6C1D5351" w14:textId="77777777" w:rsidR="00CC059E" w:rsidRDefault="005B731A">
      <w:pPr>
        <w:pStyle w:val="Default"/>
        <w:ind w:firstLineChars="200" w:firstLine="560"/>
        <w:rPr>
          <w:rFonts w:ascii="宋体" w:eastAsia="宋体" w:hAnsi="宋体"/>
          <w:sz w:val="28"/>
          <w:szCs w:val="28"/>
        </w:rPr>
      </w:pPr>
      <w:r>
        <w:rPr>
          <w:rFonts w:ascii="宋体" w:eastAsia="宋体" w:hAnsi="宋体" w:hint="eastAsia"/>
          <w:sz w:val="28"/>
          <w:szCs w:val="28"/>
        </w:rPr>
        <w:t>（二）师资队伍</w:t>
      </w:r>
    </w:p>
    <w:p w14:paraId="3C124E4D" w14:textId="77777777" w:rsidR="00CC059E" w:rsidRDefault="005B731A">
      <w:pPr>
        <w:pStyle w:val="Default"/>
        <w:ind w:firstLineChars="200" w:firstLine="560"/>
        <w:rPr>
          <w:rFonts w:ascii="宋体" w:eastAsia="宋体" w:hAnsi="宋体"/>
          <w:sz w:val="28"/>
          <w:szCs w:val="28"/>
        </w:rPr>
      </w:pPr>
      <w:r>
        <w:rPr>
          <w:rFonts w:ascii="宋体" w:eastAsia="宋体" w:hAnsi="宋体" w:hint="eastAsia"/>
          <w:sz w:val="28"/>
          <w:szCs w:val="28"/>
        </w:rPr>
        <w:t>抓好优势特色方向建设，推进与行业知名企业的合作，共同建立产学研平台。结合遗产保护、绿色建筑、建筑工业化、城市更新</w:t>
      </w:r>
      <w:r>
        <w:rPr>
          <w:rFonts w:ascii="宋体" w:eastAsia="宋体" w:hAnsi="宋体" w:hint="eastAsia"/>
          <w:sz w:val="28"/>
          <w:szCs w:val="28"/>
        </w:rPr>
        <w:t>4</w:t>
      </w:r>
      <w:r>
        <w:rPr>
          <w:rFonts w:ascii="宋体" w:eastAsia="宋体" w:hAnsi="宋体" w:hint="eastAsia"/>
          <w:sz w:val="28"/>
          <w:szCs w:val="28"/>
        </w:rPr>
        <w:t>个学科方向，组建红色资源保护利用研究所、建筑历史与理论研究所、线性文化遗产保护与传承研究所；绿色建筑技术研究所、公共空间低碳设计研究所、低碳营造技术研究所；</w:t>
      </w:r>
      <w:r>
        <w:rPr>
          <w:rFonts w:ascii="宋体" w:eastAsia="宋体" w:hAnsi="宋体" w:hint="eastAsia"/>
          <w:sz w:val="28"/>
          <w:szCs w:val="28"/>
        </w:rPr>
        <w:t>BIM</w:t>
      </w:r>
      <w:r>
        <w:rPr>
          <w:rFonts w:ascii="宋体" w:eastAsia="宋体" w:hAnsi="宋体" w:hint="eastAsia"/>
          <w:sz w:val="28"/>
          <w:szCs w:val="28"/>
        </w:rPr>
        <w:t>与数字建筑研究所；城市更新与空间治理研究中心</w:t>
      </w:r>
      <w:r>
        <w:rPr>
          <w:rFonts w:ascii="宋体" w:eastAsia="宋体" w:hAnsi="宋体" w:hint="eastAsia"/>
          <w:sz w:val="28"/>
          <w:szCs w:val="28"/>
        </w:rPr>
        <w:t>8</w:t>
      </w:r>
      <w:r>
        <w:rPr>
          <w:rFonts w:ascii="宋体" w:eastAsia="宋体" w:hAnsi="宋体" w:hint="eastAsia"/>
          <w:sz w:val="28"/>
          <w:szCs w:val="28"/>
        </w:rPr>
        <w:t>个教学科研团队。</w:t>
      </w:r>
      <w:r>
        <w:rPr>
          <w:rFonts w:ascii="宋体" w:eastAsia="宋体" w:hAnsi="宋体"/>
          <w:sz w:val="28"/>
          <w:szCs w:val="28"/>
        </w:rPr>
        <w:t>多渠道积极与高端领军人才联系，努力创造高端领军人才进入学院全职工作或以合作形式开展教学科研活动的条件</w:t>
      </w:r>
      <w:r>
        <w:rPr>
          <w:rFonts w:ascii="宋体" w:eastAsia="宋体" w:hAnsi="宋体" w:hint="eastAsia"/>
          <w:sz w:val="28"/>
          <w:szCs w:val="28"/>
        </w:rPr>
        <w:t>，以领军人才为核心，围绕重点科研方向形成优势、特色科研团队，提升科研影响力</w:t>
      </w:r>
      <w:r>
        <w:rPr>
          <w:rFonts w:ascii="宋体" w:eastAsia="宋体" w:hAnsi="宋体" w:hint="eastAsia"/>
          <w:sz w:val="28"/>
          <w:szCs w:val="28"/>
        </w:rPr>
        <w:t>与水平；深入</w:t>
      </w:r>
      <w:r>
        <w:rPr>
          <w:rFonts w:ascii="宋体" w:eastAsia="宋体" w:hAnsi="宋体" w:hint="eastAsia"/>
          <w:sz w:val="28"/>
          <w:szCs w:val="28"/>
        </w:rPr>
        <w:lastRenderedPageBreak/>
        <w:t>挖掘年轻教师的科研与社会服务潜力，以既往的成功培养模式为基础，为年轻教师创造条件，加强行业知名企业与学院对年轻教师的联合培养，储备优秀的科研与社会服务人才。</w:t>
      </w:r>
    </w:p>
    <w:p w14:paraId="2552ADD3" w14:textId="7E45DD60" w:rsidR="00CC059E" w:rsidRDefault="00590E3A">
      <w:pPr>
        <w:pStyle w:val="Default"/>
        <w:ind w:firstLineChars="200" w:firstLine="560"/>
        <w:rPr>
          <w:rFonts w:ascii="宋体" w:eastAsia="宋体" w:hAnsi="宋体"/>
          <w:sz w:val="28"/>
          <w:szCs w:val="28"/>
        </w:rPr>
      </w:pPr>
      <w:r>
        <w:rPr>
          <w:rFonts w:ascii="宋体" w:eastAsia="宋体" w:hAnsi="宋体" w:hint="eastAsia"/>
          <w:sz w:val="28"/>
          <w:szCs w:val="28"/>
        </w:rPr>
        <w:t>（三）国际交流</w:t>
      </w:r>
    </w:p>
    <w:p w14:paraId="6FE346ED" w14:textId="77777777" w:rsidR="00CC059E" w:rsidRDefault="005B731A">
      <w:pPr>
        <w:pStyle w:val="Default"/>
        <w:ind w:firstLineChars="200" w:firstLine="560"/>
        <w:rPr>
          <w:rFonts w:ascii="仿宋_GB2312" w:eastAsia="仿宋_GB2312" w:hAnsi="宋体"/>
          <w:sz w:val="28"/>
          <w:szCs w:val="28"/>
        </w:rPr>
      </w:pPr>
      <w:r>
        <w:rPr>
          <w:rFonts w:ascii="宋体" w:eastAsia="宋体" w:hAnsi="宋体"/>
          <w:sz w:val="28"/>
          <w:szCs w:val="28"/>
        </w:rPr>
        <w:t>坚持</w:t>
      </w:r>
      <w:r>
        <w:rPr>
          <w:rFonts w:ascii="宋体" w:eastAsia="宋体" w:hAnsi="宋体"/>
          <w:sz w:val="28"/>
          <w:szCs w:val="28"/>
        </w:rPr>
        <w:t>“</w:t>
      </w:r>
      <w:r>
        <w:rPr>
          <w:rFonts w:ascii="宋体" w:eastAsia="宋体" w:hAnsi="宋体"/>
          <w:sz w:val="28"/>
          <w:szCs w:val="28"/>
        </w:rPr>
        <w:t>走出去</w:t>
      </w:r>
      <w:r>
        <w:rPr>
          <w:rFonts w:ascii="宋体" w:eastAsia="宋体" w:hAnsi="宋体"/>
          <w:sz w:val="28"/>
          <w:szCs w:val="28"/>
        </w:rPr>
        <w:t>”</w:t>
      </w:r>
      <w:r>
        <w:rPr>
          <w:rFonts w:ascii="宋体" w:eastAsia="宋体" w:hAnsi="宋体"/>
          <w:sz w:val="28"/>
          <w:szCs w:val="28"/>
        </w:rPr>
        <w:t>与</w:t>
      </w:r>
      <w:r>
        <w:rPr>
          <w:rFonts w:ascii="宋体" w:eastAsia="宋体" w:hAnsi="宋体"/>
          <w:sz w:val="28"/>
          <w:szCs w:val="28"/>
        </w:rPr>
        <w:t>“</w:t>
      </w:r>
      <w:r>
        <w:rPr>
          <w:rFonts w:ascii="宋体" w:eastAsia="宋体" w:hAnsi="宋体"/>
          <w:sz w:val="28"/>
          <w:szCs w:val="28"/>
        </w:rPr>
        <w:t>引进来</w:t>
      </w:r>
      <w:r>
        <w:rPr>
          <w:rFonts w:ascii="宋体" w:eastAsia="宋体" w:hAnsi="宋体"/>
          <w:sz w:val="28"/>
          <w:szCs w:val="28"/>
        </w:rPr>
        <w:t>”</w:t>
      </w:r>
      <w:r>
        <w:rPr>
          <w:rFonts w:ascii="宋体" w:eastAsia="宋体" w:hAnsi="宋体"/>
          <w:sz w:val="28"/>
          <w:szCs w:val="28"/>
        </w:rPr>
        <w:t>相结合的方式；优化国际交流的形式，长期访学与短期交流相结合；在现有交流学校的基础上，持续深化与波兰高校合作，探索中外合作办学与留学教育相结合的新模式；完善国际化复合型工程人才培养体系，提升中外合作办学教学质量，促进中波优质教育资源深度融合，</w:t>
      </w:r>
      <w:r>
        <w:rPr>
          <w:rFonts w:ascii="宋体" w:eastAsia="宋体" w:hAnsi="宋体" w:hint="eastAsia"/>
          <w:sz w:val="28"/>
          <w:szCs w:val="28"/>
        </w:rPr>
        <w:t>鼓励学院师生携教学、科研成果与国际高校、学术组织的交流互动，</w:t>
      </w:r>
      <w:r>
        <w:rPr>
          <w:rFonts w:ascii="宋体" w:eastAsia="宋体" w:hAnsi="宋体"/>
          <w:sz w:val="28"/>
          <w:szCs w:val="28"/>
        </w:rPr>
        <w:t>推进中外教师科研合作。结合自身的特色，强化国际交流对学科建设的促进作用</w:t>
      </w:r>
      <w:r>
        <w:rPr>
          <w:rFonts w:ascii="仿宋_GB2312" w:eastAsia="仿宋_GB2312" w:hAnsi="宋体"/>
          <w:sz w:val="28"/>
          <w:szCs w:val="28"/>
        </w:rPr>
        <w:t>。</w:t>
      </w:r>
    </w:p>
    <w:p w14:paraId="7D24D2AD" w14:textId="77777777" w:rsidR="00CC059E" w:rsidRDefault="00CC059E">
      <w:pPr>
        <w:widowControl/>
        <w:shd w:val="clear" w:color="auto" w:fill="FFFFFF"/>
        <w:ind w:firstLineChars="200" w:firstLine="560"/>
        <w:jc w:val="left"/>
        <w:rPr>
          <w:rFonts w:ascii="宋体" w:hAnsi="宋体"/>
        </w:rPr>
      </w:pPr>
    </w:p>
    <w:sectPr w:rsidR="00CC05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FD91" w14:textId="77777777" w:rsidR="005B731A" w:rsidRDefault="005B731A" w:rsidP="00590E3A">
      <w:r>
        <w:separator/>
      </w:r>
    </w:p>
  </w:endnote>
  <w:endnote w:type="continuationSeparator" w:id="0">
    <w:p w14:paraId="71CAC681" w14:textId="77777777" w:rsidR="005B731A" w:rsidRDefault="005B731A" w:rsidP="0059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embedRegular r:id="rId1" w:subsetted="1" w:fontKey="{AF6C4400-F2EC-4C3F-B00F-EAB7937D0FDB}"/>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embedBold r:id="rId2" w:subsetted="1" w:fontKey="{12DC1AC2-F73C-416A-ADC6-DE85B9078615}"/>
  </w:font>
  <w:font w:name="黑体">
    <w:altName w:val="SimHei"/>
    <w:panose1 w:val="02010609060101010101"/>
    <w:charset w:val="86"/>
    <w:family w:val="modern"/>
    <w:pitch w:val="fixed"/>
    <w:sig w:usb0="800002BF" w:usb1="38CF7CFA" w:usb2="00000016" w:usb3="00000000" w:csb0="00040001" w:csb1="00000000"/>
    <w:embedBold r:id="rId3" w:subsetted="1" w:fontKey="{7B8A283B-2ED3-44B7-93E0-2F44EDC39E90}"/>
  </w:font>
  <w:font w:name="方正仿宋简体">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embedRegular r:id="rId4" w:fontKey="{ECA5B6D3-B0D8-47F3-A190-A45AED0C3115}"/>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5" w:subsetted="1" w:fontKey="{E11BA07A-5152-48EB-9541-1540C99809B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0C4FA" w14:textId="77777777" w:rsidR="005B731A" w:rsidRDefault="005B731A" w:rsidP="00590E3A">
      <w:r>
        <w:separator/>
      </w:r>
    </w:p>
  </w:footnote>
  <w:footnote w:type="continuationSeparator" w:id="0">
    <w:p w14:paraId="5FAFF4EE" w14:textId="77777777" w:rsidR="005B731A" w:rsidRDefault="005B731A" w:rsidP="00590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8EF54"/>
    <w:multiLevelType w:val="singleLevel"/>
    <w:tmpl w:val="9E48EF5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xMzMxMDU2NDQxMLFU0lEKTi0uzszPAykwrAUAl4B/sywAAAA="/>
    <w:docVar w:name="commondata" w:val="eyJoZGlkIjoiODE3YTRhYzliMGM0YzYzYTg4ZTA3MmQ5OWQ4ODZjZjIifQ=="/>
  </w:docVars>
  <w:rsids>
    <w:rsidRoot w:val="00824CD8"/>
    <w:rsid w:val="00000A2C"/>
    <w:rsid w:val="0002361F"/>
    <w:rsid w:val="000964E2"/>
    <w:rsid w:val="000E2CB4"/>
    <w:rsid w:val="0017740C"/>
    <w:rsid w:val="001959BC"/>
    <w:rsid w:val="00197863"/>
    <w:rsid w:val="001A63B6"/>
    <w:rsid w:val="001A7B4A"/>
    <w:rsid w:val="00207073"/>
    <w:rsid w:val="00216BAD"/>
    <w:rsid w:val="00227CD2"/>
    <w:rsid w:val="00230608"/>
    <w:rsid w:val="00233955"/>
    <w:rsid w:val="002A4B54"/>
    <w:rsid w:val="002F3086"/>
    <w:rsid w:val="00307B5C"/>
    <w:rsid w:val="0033351B"/>
    <w:rsid w:val="003526BE"/>
    <w:rsid w:val="0039407B"/>
    <w:rsid w:val="00395AA4"/>
    <w:rsid w:val="003D4670"/>
    <w:rsid w:val="003D6D7D"/>
    <w:rsid w:val="004129CF"/>
    <w:rsid w:val="00462D40"/>
    <w:rsid w:val="00473F42"/>
    <w:rsid w:val="00485B6C"/>
    <w:rsid w:val="00494F0F"/>
    <w:rsid w:val="004D251C"/>
    <w:rsid w:val="004D4DBB"/>
    <w:rsid w:val="004E060E"/>
    <w:rsid w:val="004E7604"/>
    <w:rsid w:val="004F6BFF"/>
    <w:rsid w:val="00501318"/>
    <w:rsid w:val="005348D4"/>
    <w:rsid w:val="0054659F"/>
    <w:rsid w:val="00554655"/>
    <w:rsid w:val="005760B4"/>
    <w:rsid w:val="00590E3A"/>
    <w:rsid w:val="005A5E93"/>
    <w:rsid w:val="005A72B9"/>
    <w:rsid w:val="005B731A"/>
    <w:rsid w:val="005F3211"/>
    <w:rsid w:val="00631AD2"/>
    <w:rsid w:val="006336C1"/>
    <w:rsid w:val="00645C90"/>
    <w:rsid w:val="006574C1"/>
    <w:rsid w:val="00676234"/>
    <w:rsid w:val="006C623D"/>
    <w:rsid w:val="006C7F2B"/>
    <w:rsid w:val="006E22A1"/>
    <w:rsid w:val="0074269E"/>
    <w:rsid w:val="007D7063"/>
    <w:rsid w:val="007F4E8B"/>
    <w:rsid w:val="007F4F36"/>
    <w:rsid w:val="00824CD8"/>
    <w:rsid w:val="008C4102"/>
    <w:rsid w:val="008C5DF0"/>
    <w:rsid w:val="008F1AFD"/>
    <w:rsid w:val="00970EE2"/>
    <w:rsid w:val="009C1C9A"/>
    <w:rsid w:val="009D7FBF"/>
    <w:rsid w:val="009F23AE"/>
    <w:rsid w:val="00A61384"/>
    <w:rsid w:val="00A9120F"/>
    <w:rsid w:val="00AA1B0F"/>
    <w:rsid w:val="00AD47CE"/>
    <w:rsid w:val="00B6693C"/>
    <w:rsid w:val="00B8620C"/>
    <w:rsid w:val="00C225AA"/>
    <w:rsid w:val="00C24117"/>
    <w:rsid w:val="00CC059E"/>
    <w:rsid w:val="00CE02B0"/>
    <w:rsid w:val="00D578ED"/>
    <w:rsid w:val="00D66423"/>
    <w:rsid w:val="00D84E9F"/>
    <w:rsid w:val="00D9362D"/>
    <w:rsid w:val="00DA2EEE"/>
    <w:rsid w:val="00DA5012"/>
    <w:rsid w:val="00DD188B"/>
    <w:rsid w:val="00E01E66"/>
    <w:rsid w:val="00E77A38"/>
    <w:rsid w:val="00ED1A0F"/>
    <w:rsid w:val="00EE1251"/>
    <w:rsid w:val="00F042C0"/>
    <w:rsid w:val="00F14566"/>
    <w:rsid w:val="00F24705"/>
    <w:rsid w:val="00F56CCA"/>
    <w:rsid w:val="00F67BA3"/>
    <w:rsid w:val="00FC79A1"/>
    <w:rsid w:val="00FD0964"/>
    <w:rsid w:val="00FD2711"/>
    <w:rsid w:val="00FD342E"/>
    <w:rsid w:val="00FE77BB"/>
    <w:rsid w:val="00FF7312"/>
    <w:rsid w:val="03D82067"/>
    <w:rsid w:val="14480E52"/>
    <w:rsid w:val="1C8653F9"/>
    <w:rsid w:val="20C10BB2"/>
    <w:rsid w:val="416C423C"/>
    <w:rsid w:val="4A7F07AD"/>
    <w:rsid w:val="5F616C1C"/>
    <w:rsid w:val="71E7414B"/>
    <w:rsid w:val="78627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32220"/>
  <w15:docId w15:val="{F81AF0B7-1E22-4446-9F10-08DC3235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eastAsia="宋体"/>
      <w:kern w:val="2"/>
      <w:sz w:val="28"/>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黑体" w:hAnsiTheme="majorHAnsi" w:cstheme="majorBidi"/>
      <w:b/>
      <w:bCs/>
      <w:sz w:val="32"/>
      <w:szCs w:val="32"/>
    </w:rPr>
  </w:style>
  <w:style w:type="paragraph" w:styleId="3">
    <w:name w:val="heading 3"/>
    <w:basedOn w:val="a"/>
    <w:next w:val="a"/>
    <w:link w:val="30"/>
    <w:autoRedefine/>
    <w:uiPriority w:val="9"/>
    <w:unhideWhenUsed/>
    <w:qFormat/>
    <w:pPr>
      <w:keepNext/>
      <w:keepLines/>
      <w:spacing w:before="260" w:after="260" w:line="416" w:lineRule="auto"/>
      <w:outlineLvl w:val="2"/>
    </w:pPr>
    <w:rPr>
      <w:rFonts w:ascii="黑体" w:eastAsia="黑体" w:hAnsi="黑体"/>
      <w:b/>
      <w:bCs/>
      <w:sz w:val="32"/>
      <w:szCs w:val="32"/>
    </w:rPr>
  </w:style>
  <w:style w:type="paragraph" w:styleId="4">
    <w:name w:val="heading 4"/>
    <w:basedOn w:val="a"/>
    <w:next w:val="a"/>
    <w:link w:val="40"/>
    <w:autoRedefine/>
    <w:uiPriority w:val="9"/>
    <w:unhideWhenUsed/>
    <w:qFormat/>
    <w:pPr>
      <w:keepNext/>
      <w:keepLines/>
      <w:spacing w:before="280" w:after="290" w:line="377" w:lineRule="auto"/>
      <w:ind w:leftChars="200" w:left="200"/>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nhideWhenUsed/>
    <w:qFormat/>
    <w:rPr>
      <w:sz w:val="21"/>
      <w:szCs w:val="21"/>
    </w:rPr>
  </w:style>
  <w:style w:type="character" w:customStyle="1" w:styleId="toolbarlabel">
    <w:name w:val="toolbarlabel"/>
    <w:basedOn w:val="a0"/>
    <w:autoRedefine/>
    <w:qFormat/>
  </w:style>
  <w:style w:type="character" w:customStyle="1" w:styleId="dropdowntoolbarbutton">
    <w:name w:val="dropdowntoolbarbutton"/>
    <w:basedOn w:val="a0"/>
    <w:autoRedefine/>
    <w:qFormat/>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character" w:customStyle="1" w:styleId="10">
    <w:name w:val="标题 1 字符"/>
    <w:basedOn w:val="a0"/>
    <w:link w:val="1"/>
    <w:autoRedefine/>
    <w:uiPriority w:val="9"/>
    <w:qFormat/>
    <w:rPr>
      <w:b/>
      <w:bCs/>
      <w:kern w:val="44"/>
      <w:sz w:val="44"/>
      <w:szCs w:val="44"/>
    </w:rPr>
  </w:style>
  <w:style w:type="character" w:customStyle="1" w:styleId="20">
    <w:name w:val="标题 2 字符"/>
    <w:basedOn w:val="a0"/>
    <w:link w:val="2"/>
    <w:autoRedefine/>
    <w:uiPriority w:val="9"/>
    <w:qFormat/>
    <w:rPr>
      <w:rFonts w:asciiTheme="majorHAnsi" w:eastAsia="黑体" w:hAnsiTheme="majorHAnsi" w:cstheme="majorBidi"/>
      <w:b/>
      <w:bCs/>
      <w:sz w:val="32"/>
      <w:szCs w:val="32"/>
    </w:rPr>
  </w:style>
  <w:style w:type="character" w:customStyle="1" w:styleId="30">
    <w:name w:val="标题 3 字符"/>
    <w:basedOn w:val="a0"/>
    <w:link w:val="3"/>
    <w:autoRedefine/>
    <w:uiPriority w:val="9"/>
    <w:qFormat/>
    <w:rPr>
      <w:rFonts w:ascii="黑体" w:eastAsia="黑体" w:hAnsi="黑体"/>
      <w:b/>
      <w:bCs/>
      <w:sz w:val="32"/>
      <w:szCs w:val="32"/>
    </w:rPr>
  </w:style>
  <w:style w:type="character" w:customStyle="1" w:styleId="40">
    <w:name w:val="标题 4 字符"/>
    <w:basedOn w:val="a0"/>
    <w:link w:val="4"/>
    <w:autoRedefine/>
    <w:uiPriority w:val="9"/>
    <w:qFormat/>
    <w:rPr>
      <w:rFonts w:asciiTheme="majorHAnsi" w:eastAsia="黑体" w:hAnsiTheme="majorHAnsi" w:cstheme="majorBidi"/>
      <w:b/>
      <w:bCs/>
      <w:sz w:val="28"/>
      <w:szCs w:val="28"/>
    </w:rPr>
  </w:style>
  <w:style w:type="character" w:customStyle="1" w:styleId="NormalCharacter">
    <w:name w:val="NormalCharacter"/>
    <w:autoRedefine/>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autoRedefine/>
    <w:qFormat/>
    <w:pPr>
      <w:spacing w:line="600" w:lineRule="exact"/>
      <w:ind w:firstLineChars="200" w:firstLine="640"/>
      <w:textAlignment w:val="baseline"/>
    </w:pPr>
    <w:rPr>
      <w:rFonts w:ascii="黑体" w:eastAsia="黑体" w:hAnsi="黑体"/>
      <w:color w:val="000000"/>
      <w:sz w:val="32"/>
      <w:szCs w:val="32"/>
    </w:rPr>
  </w:style>
  <w:style w:type="paragraph" w:customStyle="1" w:styleId="Default">
    <w:name w:val="Default"/>
    <w:autoRedefine/>
    <w:qFormat/>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职称结构</c:v>
                </c:pt>
              </c:strCache>
            </c:strRef>
          </c:tx>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5B42-4319-9DB7-9F6F2E44100D}"/>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5B42-4319-9DB7-9F6F2E44100D}"/>
              </c:ext>
            </c:extLst>
          </c:dPt>
          <c:dPt>
            <c:idx val="2"/>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5-5B42-4319-9DB7-9F6F2E44100D}"/>
              </c:ext>
            </c:extLst>
          </c:dPt>
          <c:dPt>
            <c:idx val="3"/>
            <c:bubble3D val="0"/>
            <c:spPr>
              <a:solidFill>
                <a:schemeClr val="tx2">
                  <a:lumMod val="40000"/>
                  <a:lumOff val="60000"/>
                </a:schemeClr>
              </a:solidFill>
              <a:ln w="19050">
                <a:solidFill>
                  <a:schemeClr val="lt1"/>
                </a:solidFill>
              </a:ln>
              <a:effectLst/>
            </c:spPr>
            <c:extLst>
              <c:ext xmlns:c16="http://schemas.microsoft.com/office/drawing/2014/chart" uri="{C3380CC4-5D6E-409C-BE32-E72D297353CC}">
                <c16:uniqueId val="{00000007-5B42-4319-9DB7-9F6F2E44100D}"/>
              </c:ext>
            </c:extLst>
          </c:dPt>
          <c:dLbls>
            <c:dLbl>
              <c:idx val="0"/>
              <c:spPr>
                <a:noFill/>
                <a:ln>
                  <a:noFill/>
                </a:ln>
                <a:effectLst/>
              </c:spPr>
              <c:txPr>
                <a:bodyPr rot="0" spcFirstLastPara="1" vertOverflow="ellipsis" vert="horz" wrap="square" lIns="36576" tIns="18288" rIns="36576" bIns="18288" anchor="ctr" anchorCtr="1"/>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5B42-4319-9DB7-9F6F2E44100D}"/>
                </c:ext>
              </c:extLst>
            </c:dLbl>
            <c:dLbl>
              <c:idx val="1"/>
              <c:layout>
                <c:manualLayout>
                  <c:x val="-0.14616935483870999"/>
                  <c:y val="-0.14864362690449601"/>
                </c:manualLayout>
              </c:layout>
              <c:dLblPos val="bestFit"/>
              <c:showLegendKey val="0"/>
              <c:showVal val="0"/>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5B42-4319-9DB7-9F6F2E44100D}"/>
                </c:ext>
              </c:extLst>
            </c:dLbl>
            <c:dLbl>
              <c:idx val="2"/>
              <c:layout>
                <c:manualLayout>
                  <c:x val="-5.0403225806451603E-2"/>
                  <c:y val="4.4593088071348902E-2"/>
                </c:manualLayout>
              </c:layout>
              <c:tx>
                <c:rich>
                  <a:bodyPr/>
                  <a:lstStyle/>
                  <a:p>
                    <a:fld id="{736723A4-BB67-4763-A955-F0B2DA54660F}" type="CATEGORYNAME">
                      <a:rPr lang="zh-CN" altLang="en-US"/>
                      <a:pPr/>
                      <a:t>[类别名称]</a:t>
                    </a:fld>
                    <a:endParaRPr lang="zh-CN" altLang="en-US"/>
                  </a:p>
                </c:rich>
              </c:tx>
              <c:dLblPos val="bestFit"/>
              <c:showLegendKey val="0"/>
              <c:showVal val="0"/>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5B42-4319-9DB7-9F6F2E44100D}"/>
                </c:ext>
              </c:extLst>
            </c:dLbl>
            <c:dLbl>
              <c:idx val="3"/>
              <c:tx>
                <c:rich>
                  <a:bodyPr/>
                  <a:lstStyle/>
                  <a:p>
                    <a:fld id="{18528ABB-5D06-4296-B31E-987C0C9625D3}" type="CATEGORYNAME">
                      <a:rPr lang="zh-CN" altLang="en-US"/>
                      <a:pPr/>
                      <a:t>[类别名称]</a:t>
                    </a:fld>
                    <a:endParaRPr lang="zh-CN" altLang="en-US"/>
                  </a:p>
                </c:rich>
              </c:tx>
              <c:dLblPos val="outEnd"/>
              <c:showLegendKey val="0"/>
              <c:showVal val="0"/>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5B42-4319-9DB7-9F6F2E44100D}"/>
                </c:ext>
              </c:extLst>
            </c:dLbl>
            <c:spPr>
              <a:noFill/>
              <a:ln>
                <a:noFill/>
              </a:ln>
              <a:effectLst/>
            </c:spPr>
            <c:txPr>
              <a:bodyPr rot="0" spcFirstLastPara="1" vertOverflow="clip" horzOverflow="clip" vert="horz" wrap="square" lIns="36576" tIns="18288" rIns="36576" bIns="18288" anchor="ctr" anchorCtr="1">
                <a:spAutoFit/>
              </a:bodyPr>
              <a:lstStyle/>
              <a:p>
                <a:pPr>
                  <a:defRPr lang="zh-CN" sz="900" b="0" i="0" u="none" strike="noStrike" kern="1200" baseline="0">
                    <a:solidFill>
                      <a:schemeClr val="dk1">
                        <a:lumMod val="65000"/>
                        <a:lumOff val="35000"/>
                      </a:schemeClr>
                    </a:solidFill>
                    <a:latin typeface="Times New Roman" panose="02020603050405020304" charset="0"/>
                    <a:ea typeface="+mn-ea"/>
                    <a:cs typeface="Times New Roman" panose="02020603050405020304" charset="0"/>
                  </a:defRPr>
                </a:pPr>
                <a:endParaRPr lang="zh-CN"/>
              </a:p>
            </c:txPr>
            <c:dLblPos val="outEnd"/>
            <c:showLegendKey val="0"/>
            <c:showVal val="0"/>
            <c:showCatName val="1"/>
            <c:showSerName val="0"/>
            <c:showPercent val="0"/>
            <c:showBubbleSize val="0"/>
            <c:separator>
</c:separator>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15:spPr xmlns:c15="http://schemas.microsoft.com/office/drawing/2012/chart">
                  <a:prstGeom prst="wedgeRectCallout">
                    <a:avLst/>
                  </a:prstGeom>
                </c15:spPr>
              </c:ext>
            </c:extLst>
          </c:dLbls>
          <c:cat>
            <c:strRef>
              <c:f>Sheet1!$A$2:$A$5</c:f>
              <c:strCache>
                <c:ptCount val="4"/>
                <c:pt idx="0">
                  <c:v>30-44岁 34.5％</c:v>
                </c:pt>
                <c:pt idx="1">
                  <c:v>45-49岁 44.8％</c:v>
                </c:pt>
                <c:pt idx="2">
                  <c:v>50-54岁 6.9％</c:v>
                </c:pt>
                <c:pt idx="3">
                  <c:v>55-60岁 13.8％</c:v>
                </c:pt>
              </c:strCache>
            </c:strRef>
          </c:cat>
          <c:val>
            <c:numRef>
              <c:f>Sheet1!$B$2:$B$5</c:f>
              <c:numCache>
                <c:formatCode>General</c:formatCode>
                <c:ptCount val="4"/>
                <c:pt idx="0">
                  <c:v>10</c:v>
                </c:pt>
                <c:pt idx="1">
                  <c:v>13</c:v>
                </c:pt>
                <c:pt idx="2">
                  <c:v>2</c:v>
                </c:pt>
                <c:pt idx="3">
                  <c:v>4</c:v>
                </c:pt>
              </c:numCache>
            </c:numRef>
          </c:val>
          <c:extLst>
            <c:ext xmlns:c16="http://schemas.microsoft.com/office/drawing/2014/chart" uri="{C3380CC4-5D6E-409C-BE32-E72D297353CC}">
              <c16:uniqueId val="{00000008-5B42-4319-9DB7-9F6F2E44100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a85ac110-ea71-4b63-9d09-72d9316fc8ef}"/>
      </c:ext>
    </c:extLst>
  </c:chart>
  <c:spPr>
    <a:solidFill>
      <a:schemeClr val="bg1"/>
    </a:solidFill>
    <a:ln w="9525" cap="flat" cmpd="sng" algn="ctr">
      <a:noFill/>
      <a:prstDash val="solid"/>
      <a:round/>
    </a:ln>
    <a:effectLst/>
  </c:spPr>
  <c:txPr>
    <a:bodyPr/>
    <a:lstStyle/>
    <a:p>
      <a:pPr>
        <a:defRPr lang="zh-CN">
          <a:latin typeface="Times New Roman" panose="02020603050405020304" charset="0"/>
          <a:cs typeface="Times New Roman" panose="02020603050405020304" charset="0"/>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职称分布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D73-46BE-9177-3267E7F467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D73-46BE-9177-3267E7F4676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D73-46BE-9177-3267E7F46764}"/>
              </c:ext>
            </c:extLst>
          </c:dPt>
          <c:dLbls>
            <c:dLbl>
              <c:idx val="1"/>
              <c:layout>
                <c:manualLayout>
                  <c:x val="0.26204164281164599"/>
                  <c:y val="-6.0579395852374998E-2"/>
                </c:manualLayout>
              </c:layout>
              <c:dLblPos val="bestFit"/>
              <c:showLegendKey val="0"/>
              <c:showVal val="0"/>
              <c:showCatName val="1"/>
              <c:showSerName val="0"/>
              <c:showPercent val="0"/>
              <c:showBubbleSize val="0"/>
              <c:extLst>
                <c:ext xmlns:c15="http://schemas.microsoft.com/office/drawing/2012/chart" uri="{CE6537A1-D6FC-4f65-9D91-7224C49458BB}">
                  <c15:layout>
                    <c:manualLayout>
                      <c:w val="0.25561826018206601"/>
                      <c:h val="0.25265088078842302"/>
                    </c:manualLayout>
                  </c15:layout>
                </c:ext>
                <c:ext xmlns:c16="http://schemas.microsoft.com/office/drawing/2014/chart" uri="{C3380CC4-5D6E-409C-BE32-E72D297353CC}">
                  <c16:uniqueId val="{00000003-ED73-46BE-9177-3267E7F46764}"/>
                </c:ext>
              </c:extLst>
            </c:dLbl>
            <c:spPr>
              <a:noFill/>
              <a:ln>
                <a:noFill/>
              </a:ln>
              <a:effectLst/>
            </c:spPr>
            <c:txPr>
              <a:bodyPr rot="0" spcFirstLastPara="1" vertOverflow="clip" horzOverflow="clip" vert="horz" wrap="square" lIns="36576" tIns="18288" rIns="36576" bIns="18288" anchor="ctr" anchorCtr="1">
                <a:spAutoFit/>
              </a:bodyPr>
              <a:lstStyle/>
              <a:p>
                <a:pPr>
                  <a:defRPr lang="zh-CN" sz="900" b="0" i="0" u="none" strike="noStrike" kern="1200" baseline="0">
                    <a:solidFill>
                      <a:schemeClr val="dk1">
                        <a:lumMod val="65000"/>
                        <a:lumOff val="35000"/>
                      </a:schemeClr>
                    </a:solidFill>
                    <a:latin typeface="Times New Roman" panose="02020603050405020304" charset="0"/>
                    <a:ea typeface="+mn-ea"/>
                    <a:cs typeface="Times New Roman" panose="02020603050405020304" charset="0"/>
                  </a:defRPr>
                </a:pPr>
                <a:endParaRPr lang="zh-CN"/>
              </a:p>
            </c:txPr>
            <c:dLblPos val="outEnd"/>
            <c:showLegendKey val="0"/>
            <c:showVal val="0"/>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教授 27.5％</c:v>
                </c:pt>
                <c:pt idx="1">
                  <c:v>副教授 41.3％</c:v>
                </c:pt>
                <c:pt idx="2">
                  <c:v>讲师 31.0%</c:v>
                </c:pt>
              </c:strCache>
            </c:strRef>
          </c:cat>
          <c:val>
            <c:numRef>
              <c:f>Sheet1!$B$2:$B$4</c:f>
              <c:numCache>
                <c:formatCode>General</c:formatCode>
                <c:ptCount val="3"/>
                <c:pt idx="0">
                  <c:v>8</c:v>
                </c:pt>
                <c:pt idx="1">
                  <c:v>12</c:v>
                </c:pt>
                <c:pt idx="2">
                  <c:v>9</c:v>
                </c:pt>
              </c:numCache>
            </c:numRef>
          </c:val>
          <c:extLst>
            <c:ext xmlns:c16="http://schemas.microsoft.com/office/drawing/2014/chart" uri="{C3380CC4-5D6E-409C-BE32-E72D297353CC}">
              <c16:uniqueId val="{00000006-ED73-46BE-9177-3267E7F4676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uri="{0b15fc19-7d7d-44ad-8c2d-2c3a37ce22c3}">
        <chartProps xmlns="https://web.wps.cn/et/2018/main" chartId="{4ef6fb5c-62c1-4e3e-b9ec-16ae4c961d5c}"/>
      </c:ext>
    </c:extLst>
  </c:chart>
  <c:spPr>
    <a:solidFill>
      <a:schemeClr val="bg1"/>
    </a:solidFill>
    <a:ln w="9525" cap="flat" cmpd="sng" algn="ctr">
      <a:noFill/>
      <a:round/>
    </a:ln>
    <a:effectLst/>
  </c:spPr>
  <c:txPr>
    <a:bodyPr/>
    <a:lstStyle/>
    <a:p>
      <a:pPr>
        <a:defRPr lang="zh-CN">
          <a:latin typeface="Times New Roman" panose="02020603050405020304" charset="0"/>
          <a:cs typeface="Times New Roman" panose="02020603050405020304" charset="0"/>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4012</Words>
  <Characters>4134</Characters>
  <Application>Microsoft Office Word</Application>
  <DocSecurity>0</DocSecurity>
  <Lines>258</Lines>
  <Paragraphs>193</Paragraphs>
  <ScaleCrop>false</ScaleCrop>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dcterms:created xsi:type="dcterms:W3CDTF">2025-03-29T14:28:00Z</dcterms:created>
  <dcterms:modified xsi:type="dcterms:W3CDTF">2025-03-30T05:36:00Z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C799E438A0AC424B8CA796803425FBEE_13</vt:lpwstr>
  </property>
  <property fmtid="{D5CDD505-2E9C-101B-9397-08002B2CF9AE}" pid="4" name="KSOTemplateDocerSaveRecord">
    <vt:lpwstr>eyJoZGlkIjoiODE3YTRhYzliMGM0YzYzYTg4ZTA3MmQ5OWQ4ODZjZjIiLCJ1c2VySWQiOiI0MzkyNTQ3MjIifQ==</vt:lpwstr>
  </property>
</Properties>
</file>